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142" w:afterAutospacing="1"/>
        <w:ind w:hanging="0" w:end="108"/>
        <w:jc w:val="end"/>
        <w:rPr>
          <w:rFonts w:ascii="Times New Roman" w:hAnsi="Times New Roman"/>
          <w:sz w:val="24"/>
          <w:szCs w:val="24"/>
        </w:rPr>
      </w:pPr>
      <w:r>
        <w:rPr>
          <w:rFonts w:eastAsia="Times New Roman" w:cs="Segoe UI" w:ascii="Times New Roman" w:hAnsi="Times New Roman"/>
          <w:b/>
          <w:bCs/>
          <w:i/>
          <w:iCs/>
          <w:color w:val="000000"/>
          <w:sz w:val="24"/>
          <w:szCs w:val="24"/>
          <w:u w:val="single"/>
          <w:lang w:eastAsia="it-IT"/>
        </w:rPr>
        <w:t xml:space="preserve">ALLEGATO 3b </w:t>
      </w:r>
    </w:p>
    <w:p>
      <w:pPr>
        <w:pStyle w:val="Normal"/>
        <w:spacing w:lineRule="auto" w:line="276" w:before="6" w:afterAutospacing="1"/>
        <w:ind w:hanging="0" w:end="102"/>
        <w:jc w:val="both"/>
        <w:rPr>
          <w:rFonts w:ascii="Times New Roman" w:hAnsi="Times New Roman"/>
          <w:sz w:val="24"/>
          <w:szCs w:val="24"/>
        </w:rPr>
      </w:pPr>
      <w:r>
        <w:rPr>
          <w:rFonts w:eastAsia="Times New Roman" w:cs="Segoe UI" w:ascii="Times New Roman" w:hAnsi="Times New Roman"/>
          <w:b/>
          <w:bCs/>
          <w:i w:val="false"/>
          <w:iCs w:val="false"/>
          <w:color w:val="000000"/>
          <w:sz w:val="24"/>
          <w:szCs w:val="24"/>
          <w:lang w:eastAsia="it-IT"/>
        </w:rPr>
        <w:t xml:space="preserve">CO-PROGETTAZIONE, AI SENSI DELL’ART. 55, D. LGS. N. 117/2017, </w:t>
      </w:r>
      <w:r>
        <w:rPr>
          <w:rFonts w:eastAsia="Times New Roman" w:cs="Times New Roman" w:ascii="Times New Roman" w:hAnsi="Times New Roman"/>
          <w:b/>
          <w:bCs/>
          <w:i w:val="false"/>
          <w:iCs w:val="false"/>
          <w:color w:val="000000"/>
          <w:sz w:val="24"/>
          <w:szCs w:val="24"/>
          <w:shd w:fill="auto" w:val="clear"/>
          <w:lang w:eastAsia="it-IT"/>
        </w:rPr>
        <w:t xml:space="preserve">DI INTERVENTI E ATTIVITÀ FINALIZZATI </w:t>
      </w:r>
      <w:r>
        <w:rPr>
          <w:rFonts w:eastAsia="Times New Roman" w:cs="Times New Roman" w:ascii="Times New Roman" w:hAnsi="Times New Roman"/>
          <w:b/>
          <w:bCs/>
          <w:i w:val="false"/>
          <w:iCs w:val="false"/>
          <w:caps w:val="false"/>
          <w:smallCaps w:val="false"/>
          <w:strike w:val="false"/>
          <w:dstrike w:val="false"/>
          <w:color w:val="000000"/>
          <w:position w:val="0"/>
          <w:sz w:val="24"/>
          <w:sz w:val="24"/>
          <w:szCs w:val="24"/>
          <w:u w:val="none"/>
          <w:shd w:fill="auto" w:val="clear"/>
          <w:vertAlign w:val="baseline"/>
          <w:lang w:eastAsia="it-IT"/>
        </w:rPr>
        <w:t>ALLO SVILUPPO DELLE AUTONOMIE PERSONALI, DELL’AUTOSTIMA, DELLE COMPETENZE SOCIALI E RELAZIONALI PER GIOVANI CON DISABILITÀ CHE VIVONO IN FAMIGLIA E NEL CONTEMPO AL SOSTEGNO AI CAREGIVERS FAMILIARI NEL PROCESSO DI COSTRUZIONE DELLA FIDUCIA VERSO SPAZI DI CRESCENTE AUTONOMIA, NONCHÉ DI SOLLIEVO DAL CARICO DI CURA</w:t>
      </w:r>
    </w:p>
    <w:p>
      <w:pPr>
        <w:pStyle w:val="Normal"/>
        <w:spacing w:lineRule="auto" w:line="276" w:before="0" w:afterAutospacing="1"/>
        <w:ind w:hanging="0" w:end="113"/>
        <w:jc w:val="center"/>
        <w:rPr/>
      </w:pPr>
      <w:r>
        <w:rPr>
          <w:rFonts w:eastAsia="Times New Roman" w:cs="Segoe UI" w:ascii="Times New Roman" w:hAnsi="Times New Roman"/>
          <w:b/>
          <w:bCs/>
          <w:color w:val="000000"/>
          <w:sz w:val="21"/>
          <w:szCs w:val="21"/>
          <w:u w:val="single"/>
          <w:lang w:eastAsia="it-IT"/>
        </w:rPr>
        <w:t>SCHEMA</w:t>
      </w:r>
      <w:r>
        <w:rPr>
          <w:rFonts w:eastAsia="Times New Roman" w:cs="Segoe UI" w:ascii="Times New Roman" w:hAnsi="Times New Roman"/>
          <w:b/>
          <w:bCs/>
          <w:color w:val="000000"/>
          <w:spacing w:val="-2"/>
          <w:sz w:val="21"/>
          <w:szCs w:val="21"/>
          <w:u w:val="single"/>
          <w:lang w:eastAsia="it-IT"/>
        </w:rPr>
        <w:t xml:space="preserve"> DI ACCORDO DI COLLABORAZIONE </w:t>
      </w:r>
    </w:p>
    <w:p>
      <w:pPr>
        <w:pStyle w:val="Normal"/>
        <w:numPr>
          <w:ilvl w:val="0"/>
          <w:numId w:val="0"/>
        </w:numPr>
        <w:spacing w:lineRule="auto" w:line="240" w:before="57" w:after="102"/>
        <w:ind w:hanging="0" w:start="0" w:end="-34"/>
        <w:outlineLvl w:val="5"/>
        <w:rPr>
          <w:sz w:val="21"/>
          <w:szCs w:val="21"/>
        </w:rPr>
      </w:pPr>
      <w:r>
        <w:rPr>
          <w:rFonts w:eastAsia="Times New Roman" w:cs="Segoe UI" w:ascii="Times New Roman" w:hAnsi="Times New Roman"/>
          <w:color w:val="000000"/>
          <w:sz w:val="21"/>
          <w:szCs w:val="21"/>
          <w:lang w:eastAsia="it-IT"/>
        </w:rPr>
        <w:t>Con la presente scrittura privata da valere ai sensi di legge tra:</w:t>
      </w:r>
    </w:p>
    <w:p>
      <w:pPr>
        <w:pStyle w:val="Normal"/>
        <w:spacing w:lineRule="auto" w:line="240" w:beforeAutospacing="1" w:afterAutospacing="1"/>
        <w:ind w:hanging="0" w:end="-34"/>
        <w:jc w:val="both"/>
        <w:rPr/>
      </w:pPr>
      <w:r>
        <w:rPr>
          <w:rFonts w:eastAsia="Times New Roman" w:cs="Segoe UI" w:ascii="Times New Roman" w:hAnsi="Times New Roman"/>
          <w:b/>
          <w:bCs/>
          <w:color w:val="000000"/>
          <w:sz w:val="21"/>
          <w:szCs w:val="21"/>
          <w:lang w:eastAsia="it-IT"/>
        </w:rPr>
        <w:t xml:space="preserve">L’Unione Rubicone e </w:t>
      </w:r>
      <w:r>
        <w:rPr>
          <w:rFonts w:eastAsia="Times New Roman" w:cs="Segoe UI" w:ascii="Times New Roman" w:hAnsi="Times New Roman"/>
          <w:b/>
          <w:bCs/>
          <w:color w:val="000000"/>
          <w:kern w:val="0"/>
          <w:sz w:val="21"/>
          <w:szCs w:val="21"/>
          <w:lang w:val="it-IT" w:eastAsia="it-IT" w:bidi="ar-SA"/>
        </w:rPr>
        <w:t>M</w:t>
      </w:r>
      <w:r>
        <w:rPr>
          <w:rFonts w:eastAsia="Times New Roman" w:cs="Segoe UI" w:ascii="Times New Roman" w:hAnsi="Times New Roman"/>
          <w:b/>
          <w:bCs/>
          <w:color w:val="000000"/>
          <w:sz w:val="21"/>
          <w:szCs w:val="21"/>
          <w:lang w:eastAsia="it-IT"/>
        </w:rPr>
        <w:t>are,</w:t>
      </w:r>
      <w:r>
        <w:rPr>
          <w:rFonts w:eastAsia="Times New Roman" w:cs="Segoe UI" w:ascii="Times New Roman" w:hAnsi="Times New Roman"/>
          <w:color w:val="000000"/>
          <w:sz w:val="21"/>
          <w:szCs w:val="21"/>
          <w:lang w:eastAsia="it-IT"/>
        </w:rPr>
        <w:t xml:space="preserve"> Codice Fiscale </w:t>
      </w:r>
      <w:r>
        <w:rPr>
          <w:rFonts w:eastAsia="Times New Roman" w:cs="Segoe UI" w:ascii="Times New Roman" w:hAnsi="Times New Roman"/>
          <w:b w:val="false"/>
          <w:i w:val="false"/>
          <w:caps w:val="false"/>
          <w:smallCaps w:val="false"/>
          <w:color w:val="000000"/>
          <w:spacing w:val="0"/>
          <w:sz w:val="21"/>
          <w:szCs w:val="21"/>
          <w:lang w:eastAsia="it-IT"/>
        </w:rPr>
        <w:t>90051070408</w:t>
      </w:r>
      <w:r>
        <w:rPr>
          <w:rFonts w:eastAsia="Times New Roman" w:cs="Segoe UI" w:ascii="Times New Roman" w:hAnsi="Times New Roman"/>
          <w:color w:val="000000"/>
          <w:sz w:val="21"/>
          <w:szCs w:val="21"/>
          <w:lang w:eastAsia="it-IT"/>
        </w:rPr>
        <w:t xml:space="preserve"> - Partita IVA</w:t>
      </w:r>
      <w:r>
        <w:rPr>
          <w:rFonts w:eastAsia="Times New Roman" w:cs="Segoe UI" w:ascii="Times New Roman" w:hAnsi="Times New Roman"/>
          <w:caps w:val="false"/>
          <w:smallCaps w:val="false"/>
          <w:color w:val="000000"/>
          <w:spacing w:val="0"/>
          <w:sz w:val="21"/>
          <w:szCs w:val="21"/>
          <w:lang w:eastAsia="it-IT"/>
        </w:rPr>
        <w:t xml:space="preserve"> </w:t>
      </w:r>
      <w:r>
        <w:rPr>
          <w:rFonts w:eastAsia="Times New Roman" w:cs="Segoe UI" w:ascii="Times New Roman" w:hAnsi="Times New Roman"/>
          <w:b w:val="false"/>
          <w:i w:val="false"/>
          <w:caps w:val="false"/>
          <w:smallCaps w:val="false"/>
          <w:color w:val="000000"/>
          <w:spacing w:val="0"/>
          <w:sz w:val="21"/>
          <w:szCs w:val="21"/>
          <w:lang w:eastAsia="it-IT"/>
        </w:rPr>
        <w:t>03584850402</w:t>
      </w:r>
      <w:r>
        <w:rPr>
          <w:rFonts w:eastAsia="Times New Roman" w:cs="Segoe UI" w:ascii="Times New Roman" w:hAnsi="Times New Roman"/>
          <w:color w:val="000000"/>
          <w:sz w:val="21"/>
          <w:szCs w:val="21"/>
          <w:lang w:eastAsia="it-IT"/>
        </w:rPr>
        <w:t xml:space="preserve"> con sede legale a Cesenatico (FC) Via Marino Moretti n. 5, quale Amministrazione procedente, rappresentato dalla </w:t>
      </w:r>
      <w:r>
        <w:rPr>
          <w:rFonts w:eastAsia="Times New Roman" w:cs="Segoe UI" w:ascii="Times New Roman" w:hAnsi="Times New Roman"/>
          <w:color w:val="000000"/>
          <w:kern w:val="0"/>
          <w:sz w:val="21"/>
          <w:szCs w:val="21"/>
          <w:lang w:val="it-IT" w:eastAsia="it-IT" w:bidi="ar-SA"/>
        </w:rPr>
        <w:t>D</w:t>
      </w:r>
      <w:r>
        <w:rPr>
          <w:rFonts w:eastAsia="Times New Roman" w:cs="Segoe UI" w:ascii="Times New Roman" w:hAnsi="Times New Roman"/>
          <w:color w:val="000000"/>
          <w:sz w:val="21"/>
          <w:szCs w:val="21"/>
          <w:lang w:eastAsia="it-IT"/>
        </w:rPr>
        <w:t xml:space="preserve">ott.ssa Paola Graffieti domiciliata per la carica in Savignano sul Rubicone presso la sede amministrativo dell’Ente, la quale agisce nella sua veste e qualifica di Responsabile del Settore Piani Sociali di Zona dell’Unione Rubicone e Mare e sottoscrive il presente atto in virtù del provvedimento del Presidente dell’Unione Rubicone e </w:t>
      </w:r>
      <w:r>
        <w:rPr>
          <w:rFonts w:eastAsia="Times New Roman" w:cs="Segoe UI" w:ascii="Times New Roman" w:hAnsi="Times New Roman"/>
          <w:color w:val="000000"/>
          <w:kern w:val="0"/>
          <w:sz w:val="21"/>
          <w:szCs w:val="21"/>
          <w:lang w:val="it-IT" w:eastAsia="it-IT" w:bidi="ar-SA"/>
        </w:rPr>
        <w:t>M</w:t>
      </w:r>
      <w:r>
        <w:rPr>
          <w:rFonts w:eastAsia="Times New Roman" w:cs="Segoe UI" w:ascii="Times New Roman" w:hAnsi="Times New Roman"/>
          <w:color w:val="000000"/>
          <w:sz w:val="21"/>
          <w:szCs w:val="21"/>
          <w:lang w:eastAsia="it-IT"/>
        </w:rPr>
        <w:t xml:space="preserve">are </w:t>
      </w:r>
      <w:r>
        <w:rPr>
          <w:rFonts w:eastAsia="Times New Roman" w:cs="Arial" w:ascii="Times New Roman" w:hAnsi="Times New Roman"/>
          <w:b/>
          <w:bCs/>
          <w:color w:val="000000"/>
          <w:sz w:val="21"/>
          <w:szCs w:val="21"/>
          <w:lang w:val="it-IT" w:eastAsia="it-IT"/>
        </w:rPr>
        <w:t xml:space="preserve"> </w:t>
      </w:r>
      <w:r>
        <w:rPr>
          <w:rStyle w:val="Carpredefinitoparagrafo"/>
          <w:rFonts w:eastAsia="Arial" w:cs="Arial" w:ascii="Times New Roman" w:hAnsi="Times New Roman"/>
          <w:b w:val="false"/>
          <w:bCs w:val="false"/>
          <w:color w:val="000000"/>
          <w:sz w:val="21"/>
          <w:szCs w:val="21"/>
          <w:u w:val="none"/>
          <w:shd w:fill="auto" w:val="clear"/>
          <w:lang w:val="it-IT" w:eastAsia="it-IT"/>
        </w:rPr>
        <w:t xml:space="preserve">n. 41117 del 09/12/2024 di attribuzione </w:t>
      </w:r>
      <w:r>
        <w:rPr>
          <w:rFonts w:eastAsia="Arial" w:cs="Arial" w:ascii="Times New Roman" w:hAnsi="Times New Roman"/>
          <w:b w:val="false"/>
          <w:bCs w:val="false"/>
          <w:color w:val="000000"/>
          <w:sz w:val="21"/>
          <w:szCs w:val="21"/>
          <w:u w:val="none"/>
          <w:lang w:val="it-IT" w:eastAsia="it-IT"/>
        </w:rPr>
        <w:t>delle funzioni di Responsabile del Settore “Piano Sociale di Zona”</w:t>
      </w:r>
      <w:r>
        <w:rPr>
          <w:rFonts w:eastAsia="Times New Roman" w:cs="Segoe UI" w:ascii="Times New Roman" w:hAnsi="Times New Roman"/>
          <w:color w:val="000000"/>
          <w:sz w:val="21"/>
          <w:szCs w:val="21"/>
          <w:lang w:eastAsia="it-IT"/>
        </w:rPr>
        <w:t xml:space="preserve"> e ai sensi dell’art. 107 del D. Lgs. n. 267/2000;</w:t>
      </w:r>
    </w:p>
    <w:p>
      <w:pPr>
        <w:pStyle w:val="Normal"/>
        <w:spacing w:lineRule="auto" w:line="240" w:beforeAutospacing="1" w:afterAutospacing="1"/>
        <w:ind w:hanging="0" w:end="-34"/>
        <w:jc w:val="both"/>
        <w:rPr>
          <w:rFonts w:ascii="Times New Roman" w:hAnsi="Times New Roman" w:eastAsia="Times New Roman" w:cs="Segoe UI"/>
          <w:b/>
          <w:bCs/>
          <w:color w:val="000000"/>
          <w:sz w:val="21"/>
          <w:szCs w:val="21"/>
          <w:lang w:eastAsia="it-IT"/>
        </w:rPr>
      </w:pPr>
      <w:r>
        <w:rPr>
          <w:rFonts w:eastAsia="Times New Roman" w:cs="Segoe UI" w:ascii="Times New Roman" w:hAnsi="Times New Roman"/>
          <w:b/>
          <w:bCs/>
          <w:color w:val="000000"/>
          <w:sz w:val="21"/>
          <w:szCs w:val="21"/>
          <w:lang w:eastAsia="it-IT"/>
        </w:rPr>
        <w:t>(d’ora in poi denominato “Amministrazione Procedente” o “Amministrazione”)</w:t>
      </w:r>
    </w:p>
    <w:p>
      <w:pPr>
        <w:pStyle w:val="Normal"/>
        <w:spacing w:lineRule="auto" w:line="240" w:beforeAutospacing="1" w:afterAutospacing="1"/>
        <w:ind w:hanging="0" w:end="-34"/>
        <w:jc w:val="center"/>
        <w:rPr>
          <w:sz w:val="21"/>
          <w:szCs w:val="21"/>
        </w:rPr>
      </w:pPr>
      <w:r>
        <w:rPr>
          <w:rFonts w:eastAsia="Times New Roman" w:cs="Segoe UI" w:ascii="Times New Roman" w:hAnsi="Times New Roman"/>
          <w:b/>
          <w:bCs/>
          <w:color w:val="000000"/>
          <w:sz w:val="21"/>
          <w:szCs w:val="21"/>
          <w:lang w:eastAsia="it-IT"/>
        </w:rPr>
        <w:t>E</w:t>
      </w:r>
    </w:p>
    <w:p>
      <w:pPr>
        <w:pStyle w:val="Normal"/>
        <w:spacing w:lineRule="auto" w:line="240" w:beforeAutospacing="1" w:afterAutospacing="1"/>
        <w:ind w:hanging="0" w:end="-34"/>
        <w:jc w:val="both"/>
        <w:rPr>
          <w:sz w:val="21"/>
          <w:szCs w:val="21"/>
        </w:rPr>
      </w:pPr>
      <w:bookmarkStart w:id="0" w:name="_Hlk90740394"/>
      <w:bookmarkEnd w:id="0"/>
      <w:r>
        <w:rPr>
          <w:rFonts w:eastAsia="Times New Roman" w:cs="Segoe UI" w:ascii="Times New Roman" w:hAnsi="Times New Roman"/>
          <w:color w:val="000000"/>
          <w:sz w:val="21"/>
          <w:szCs w:val="21"/>
          <w:lang w:eastAsia="it-IT"/>
        </w:rPr>
        <w:t xml:space="preserve">La _____________ Codice fiscale e Partita IVA ___________, con sede legale in __________ - Via ___________, rappresentato da ____________ nato a ____________il ___________, residente in _____________ via _________ n. _____, in qualità di Legale Rappresentante </w:t>
      </w:r>
      <w:r>
        <w:rPr>
          <w:rFonts w:eastAsia="Times New Roman" w:cs="Segoe UI" w:ascii="Times New Roman" w:hAnsi="Times New Roman"/>
          <w:i/>
          <w:iCs/>
          <w:color w:val="000000"/>
          <w:sz w:val="21"/>
          <w:szCs w:val="21"/>
          <w:lang w:eastAsia="it-IT"/>
        </w:rPr>
        <w:t>pro tempore</w:t>
      </w:r>
    </w:p>
    <w:p>
      <w:pPr>
        <w:pStyle w:val="Normal"/>
        <w:spacing w:lineRule="auto" w:line="240" w:beforeAutospacing="1" w:afterAutospacing="1"/>
        <w:ind w:hanging="0" w:end="-34"/>
        <w:rPr>
          <w:sz w:val="21"/>
          <w:szCs w:val="21"/>
        </w:rPr>
      </w:pPr>
      <w:r>
        <w:rPr>
          <w:rFonts w:eastAsia="Times New Roman" w:cs="Segoe UI" w:ascii="Times New Roman" w:hAnsi="Times New Roman"/>
          <w:b/>
          <w:bCs/>
          <w:i/>
          <w:iCs/>
          <w:color w:val="000000"/>
          <w:sz w:val="21"/>
          <w:szCs w:val="21"/>
          <w:lang w:eastAsia="it-IT"/>
        </w:rPr>
        <w:t>(di seguito denominato anche “Ente Attuatore Partner” o “EAP” )</w:t>
      </w:r>
    </w:p>
    <w:p>
      <w:pPr>
        <w:pStyle w:val="Normal"/>
        <w:spacing w:lineRule="auto" w:line="240" w:before="0" w:afterAutospacing="1"/>
        <w:ind w:hanging="0" w:end="96"/>
        <w:jc w:val="center"/>
        <w:rPr>
          <w:sz w:val="21"/>
          <w:szCs w:val="21"/>
        </w:rPr>
      </w:pPr>
      <w:r>
        <w:rPr>
          <w:rFonts w:eastAsia="Times New Roman" w:cs="Segoe UI" w:ascii="Times New Roman" w:hAnsi="Times New Roman"/>
          <w:color w:val="000000"/>
          <w:sz w:val="21"/>
          <w:szCs w:val="21"/>
          <w:lang w:eastAsia="it-IT"/>
        </w:rPr>
        <w:t>*</w:t>
      </w:r>
      <w:r>
        <w:rPr>
          <w:rFonts w:eastAsia="Times New Roman" w:cs="Segoe UI" w:ascii="Times New Roman" w:hAnsi="Times New Roman"/>
          <w:color w:val="000000"/>
          <w:spacing w:val="50"/>
          <w:sz w:val="21"/>
          <w:szCs w:val="21"/>
          <w:lang w:eastAsia="it-IT"/>
        </w:rPr>
        <w:t xml:space="preserve"> </w:t>
      </w:r>
      <w:r>
        <w:rPr>
          <w:rFonts w:eastAsia="Times New Roman" w:cs="Segoe UI" w:ascii="Times New Roman" w:hAnsi="Times New Roman"/>
          <w:color w:val="000000"/>
          <w:sz w:val="21"/>
          <w:szCs w:val="21"/>
          <w:lang w:eastAsia="it-IT"/>
        </w:rPr>
        <w:t>* *</w:t>
      </w:r>
      <w:r>
        <w:rPr>
          <w:rFonts w:eastAsia="Times New Roman" w:cs="Segoe UI" w:ascii="Times New Roman" w:hAnsi="Times New Roman"/>
          <w:color w:val="000000"/>
          <w:spacing w:val="50"/>
          <w:sz w:val="21"/>
          <w:szCs w:val="21"/>
          <w:lang w:eastAsia="it-IT"/>
        </w:rPr>
        <w:t xml:space="preserve"> </w:t>
      </w:r>
    </w:p>
    <w:p>
      <w:pPr>
        <w:pStyle w:val="Normal"/>
        <w:spacing w:lineRule="auto" w:line="240" w:beforeAutospacing="1" w:afterAutospacing="1"/>
        <w:jc w:val="both"/>
        <w:rPr>
          <w:sz w:val="21"/>
          <w:szCs w:val="21"/>
        </w:rPr>
      </w:pPr>
      <w:r>
        <w:rPr>
          <w:rFonts w:eastAsia="Times New Roman" w:cs="Segoe UI" w:ascii="Times New Roman" w:hAnsi="Times New Roman"/>
          <w:b/>
          <w:bCs/>
          <w:color w:val="000000"/>
          <w:sz w:val="21"/>
          <w:szCs w:val="21"/>
          <w:lang w:eastAsia="it-IT"/>
        </w:rPr>
        <w:t>Premesso</w:t>
      </w:r>
      <w:r>
        <w:rPr>
          <w:rFonts w:eastAsia="Times New Roman" w:cs="Segoe UI" w:ascii="Times New Roman" w:hAnsi="Times New Roman"/>
          <w:color w:val="000000"/>
          <w:sz w:val="21"/>
          <w:szCs w:val="21"/>
          <w:lang w:eastAsia="it-IT"/>
        </w:rPr>
        <w:t xml:space="preserve"> che con Avviso pubblicato sul proprio sito, nella sezione “Amministrazione Trasparente”</w:t>
      </w:r>
      <w:r>
        <w:rPr>
          <w:rFonts w:eastAsia="Times New Roman" w:cs="Segoe UI" w:ascii="Times New Roman" w:hAnsi="Times New Roman"/>
          <w:color w:val="000000"/>
          <w:kern w:val="0"/>
          <w:sz w:val="21"/>
          <w:szCs w:val="21"/>
          <w:lang w:val="it-IT" w:eastAsia="it-IT" w:bidi="ar-SA"/>
        </w:rPr>
        <w:t>, in data 12/10/2026, in e</w:t>
      </w:r>
      <w:r>
        <w:rPr>
          <w:rFonts w:eastAsia="Times New Roman" w:cs="Segoe UI" w:ascii="Times New Roman" w:hAnsi="Times New Roman"/>
          <w:color w:val="000000"/>
          <w:sz w:val="21"/>
          <w:szCs w:val="21"/>
          <w:lang w:eastAsia="it-IT"/>
        </w:rPr>
        <w:t>secuzione della</w:t>
      </w:r>
      <w:r>
        <w:rPr>
          <w:rFonts w:eastAsia="Times New Roman" w:cs="Segoe UI" w:ascii="Times New Roman" w:hAnsi="Times New Roman"/>
          <w:color w:val="000000"/>
          <w:sz w:val="21"/>
          <w:szCs w:val="21"/>
          <w:shd w:fill="auto" w:val="clear"/>
          <w:lang w:eastAsia="it-IT"/>
        </w:rPr>
        <w:t xml:space="preserve"> determinazione n. 11 del 09/10/2026 h</w:t>
      </w:r>
      <w:r>
        <w:rPr>
          <w:rFonts w:eastAsia="Times New Roman" w:cs="Segoe UI" w:ascii="Times New Roman" w:hAnsi="Times New Roman"/>
          <w:color w:val="000000"/>
          <w:sz w:val="21"/>
          <w:szCs w:val="21"/>
          <w:lang w:eastAsia="it-IT"/>
        </w:rPr>
        <w:t xml:space="preserve">a indetto la procedura ad evidenza pubblica per la selezione degli Enti Attuatori Partner (EAP) con i quali co-progettare le attività ivi indicate, per l’attuazione del </w:t>
      </w:r>
      <w:r>
        <w:rPr>
          <w:rFonts w:eastAsia="Times New Roman" w:cs="Segoe UI" w:ascii="Times New Roman" w:hAnsi="Times New Roman"/>
          <w:b/>
          <w:bCs/>
          <w:color w:val="000000"/>
          <w:sz w:val="21"/>
          <w:szCs w:val="21"/>
          <w:lang w:eastAsia="it-IT"/>
        </w:rPr>
        <w:t>Documento Progettuale (DP)</w:t>
      </w:r>
      <w:r>
        <w:rPr>
          <w:rFonts w:eastAsia="Times New Roman" w:cs="Segoe UI" w:ascii="Times New Roman" w:hAnsi="Times New Roman"/>
          <w:color w:val="000000"/>
          <w:sz w:val="21"/>
          <w:szCs w:val="21"/>
          <w:lang w:eastAsia="it-IT"/>
        </w:rPr>
        <w:t xml:space="preserve"> elaborato dall’Amministrazione procedente allegato al medesimo Avviso.</w:t>
      </w:r>
    </w:p>
    <w:p>
      <w:pPr>
        <w:pStyle w:val="Normal"/>
        <w:spacing w:lineRule="auto" w:line="240" w:beforeAutospacing="1" w:afterAutospacing="1"/>
        <w:jc w:val="both"/>
        <w:rPr>
          <w:sz w:val="21"/>
          <w:szCs w:val="21"/>
        </w:rPr>
      </w:pPr>
      <w:r>
        <w:rPr>
          <w:rFonts w:eastAsia="Times New Roman" w:cs="Segoe UI" w:ascii="Times New Roman" w:hAnsi="Times New Roman"/>
          <w:b/>
          <w:bCs/>
          <w:color w:val="000000"/>
          <w:sz w:val="21"/>
          <w:szCs w:val="21"/>
          <w:lang w:eastAsia="it-IT"/>
        </w:rPr>
        <w:t>Richiamati</w:t>
      </w:r>
      <w:r>
        <w:rPr>
          <w:rFonts w:eastAsia="Times New Roman" w:cs="Segoe UI" w:ascii="Times New Roman" w:hAnsi="Times New Roman"/>
          <w:color w:val="000000"/>
          <w:sz w:val="21"/>
          <w:szCs w:val="21"/>
          <w:lang w:eastAsia="it-IT"/>
        </w:rPr>
        <w:t>:</w:t>
      </w:r>
    </w:p>
    <w:p>
      <w:pPr>
        <w:pStyle w:val="ListParagraph"/>
        <w:numPr>
          <w:ilvl w:val="0"/>
          <w:numId w:val="1"/>
        </w:numPr>
        <w:spacing w:lineRule="auto" w:line="240" w:before="0" w:after="0"/>
        <w:contextualSpacing/>
        <w:jc w:val="both"/>
        <w:rPr>
          <w:sz w:val="21"/>
          <w:szCs w:val="21"/>
        </w:rPr>
      </w:pPr>
      <w:r>
        <w:rPr>
          <w:rFonts w:eastAsia="Times New Roman" w:cs="Segoe UI" w:ascii="Times New Roman" w:hAnsi="Times New Roman"/>
          <w:color w:val="000000"/>
          <w:sz w:val="21"/>
          <w:szCs w:val="21"/>
          <w:lang w:eastAsia="it-IT"/>
        </w:rPr>
        <w:t>la determinazione</w:t>
      </w:r>
      <w:r>
        <w:rPr>
          <w:rFonts w:eastAsia="Times New Roman" w:cs="Segoe UI" w:ascii="Times New Roman" w:hAnsi="Times New Roman"/>
          <w:color w:val="000000"/>
          <w:sz w:val="21"/>
          <w:szCs w:val="21"/>
          <w:shd w:fill="auto" w:val="clear"/>
          <w:lang w:eastAsia="it-IT"/>
        </w:rPr>
        <w:t xml:space="preserve"> n. 11/2026 rec</w:t>
      </w:r>
      <w:r>
        <w:rPr>
          <w:rFonts w:eastAsia="Times New Roman" w:cs="Segoe UI" w:ascii="Times New Roman" w:hAnsi="Times New Roman"/>
          <w:color w:val="000000"/>
          <w:sz w:val="21"/>
          <w:szCs w:val="21"/>
          <w:lang w:eastAsia="it-IT"/>
        </w:rPr>
        <w:t xml:space="preserve">ante “Co-progettazione, ai sensi dell’art. 55, d. lgs. n. 117/2017, </w:t>
      </w:r>
      <w:r>
        <w:rPr>
          <w:rFonts w:eastAsia="Times New Roman" w:cs="Times New Roman" w:ascii="Times New Roman" w:hAnsi="Times New Roman"/>
          <w:b w:val="false"/>
          <w:bCs w:val="false"/>
          <w:i/>
          <w:iCs/>
          <w:color w:val="000000"/>
          <w:sz w:val="21"/>
          <w:szCs w:val="21"/>
          <w:lang w:eastAsia="it-IT"/>
        </w:rPr>
        <w:t xml:space="preserve">MANIFESTAZIONE DI INTERESSE DA PARTE DI SOGGETTO/I DEL TERZO SETTORE INTERESSATO/I ALLA SOTTOSCRIZIONE DI ACCORDI DI PARTENARIATO PER L’ATTUAZIONE </w:t>
      </w:r>
      <w:r>
        <w:rPr>
          <w:rFonts w:eastAsia="Times New Roman" w:cs="Times New Roman" w:ascii="Times New Roman" w:hAnsi="Times New Roman"/>
          <w:b w:val="false"/>
          <w:bCs w:val="false"/>
          <w:i/>
          <w:iCs/>
          <w:caps w:val="false"/>
          <w:smallCaps w:val="false"/>
          <w:strike w:val="false"/>
          <w:dstrike w:val="false"/>
          <w:color w:val="000000"/>
          <w:position w:val="0"/>
          <w:sz w:val="21"/>
          <w:sz w:val="21"/>
          <w:szCs w:val="21"/>
          <w:u w:val="none"/>
          <w:vertAlign w:val="baseline"/>
          <w:lang w:eastAsia="it-IT"/>
        </w:rPr>
        <w:t xml:space="preserve">DI: </w:t>
      </w:r>
    </w:p>
    <w:p>
      <w:pPr>
        <w:pStyle w:val="ListParagraph"/>
        <w:numPr>
          <w:ilvl w:val="0"/>
          <w:numId w:val="0"/>
        </w:numPr>
        <w:spacing w:lineRule="auto" w:line="240" w:before="0" w:after="0"/>
        <w:ind w:hanging="0" w:start="720"/>
        <w:contextualSpacing/>
        <w:jc w:val="both"/>
        <w:rPr>
          <w:rFonts w:ascii="Times New Roman" w:hAnsi="Times New Roman" w:eastAsia="Times New Roman" w:cs="Times New Roman"/>
          <w:b w:val="false"/>
          <w:bCs w:val="false"/>
          <w:i/>
          <w:i/>
          <w:iCs/>
          <w:caps w:val="false"/>
          <w:smallCaps w:val="false"/>
          <w:strike w:val="false"/>
          <w:dstrike w:val="false"/>
          <w:color w:val="000000"/>
          <w:sz w:val="21"/>
          <w:szCs w:val="21"/>
          <w:u w:val="none"/>
          <w:lang w:eastAsia="it-IT"/>
        </w:rPr>
      </w:pPr>
      <w:r>
        <w:rPr>
          <w:rFonts w:eastAsia="Times New Roman" w:cs="Times New Roman" w:ascii="Times New Roman" w:hAnsi="Times New Roman"/>
          <w:b w:val="false"/>
          <w:bCs w:val="false"/>
          <w:i/>
          <w:iCs/>
          <w:caps w:val="false"/>
          <w:smallCaps w:val="false"/>
          <w:strike w:val="false"/>
          <w:dstrike w:val="false"/>
          <w:color w:val="000000"/>
          <w:sz w:val="21"/>
          <w:szCs w:val="21"/>
          <w:u w:val="none"/>
          <w:lang w:eastAsia="it-IT"/>
        </w:rPr>
      </w:r>
    </w:p>
    <w:p>
      <w:pPr>
        <w:pStyle w:val="NormaleWeb"/>
        <w:numPr>
          <w:ilvl w:val="0"/>
          <w:numId w:val="0"/>
        </w:numPr>
        <w:spacing w:before="0" w:after="0"/>
        <w:ind w:hanging="0" w:start="720"/>
        <w:jc w:val="both"/>
        <w:rPr>
          <w:sz w:val="21"/>
          <w:szCs w:val="21"/>
        </w:rPr>
      </w:pPr>
      <w:r>
        <w:rPr>
          <w:rFonts w:eastAsia="Times New Roman" w:cs="Times New Roman"/>
          <w:b w:val="false"/>
          <w:bCs w:val="false"/>
          <w:i/>
          <w:iCs/>
          <w:caps w:val="false"/>
          <w:smallCaps w:val="false"/>
          <w:strike w:val="false"/>
          <w:dstrike w:val="false"/>
          <w:color w:val="000000"/>
          <w:position w:val="0"/>
          <w:sz w:val="21"/>
          <w:sz w:val="21"/>
          <w:szCs w:val="21"/>
          <w:u w:val="none"/>
          <w:vertAlign w:val="baseline"/>
        </w:rPr>
        <w:t>1) UNA PROPOSTA PROGETTUALE FINALIZZATA AD INTRAPRENDERE PERCORSI ED ATTIVITÀ DI SOCIALIZZAZIONE ORIENTATI ALL’INCLUSIONE A FAVORE DI PERSONE ADULTE, MINORI ED IN ETÀ DI TRANSIZIONE CON DISTURBO DELLO SPETTRO AUTISTICO RESIDENTI NEL TERRITORIO DELL’UNIONE RUBICONE E MARE</w:t>
      </w:r>
    </w:p>
    <w:p>
      <w:pPr>
        <w:pStyle w:val="NormaleWeb"/>
        <w:numPr>
          <w:ilvl w:val="0"/>
          <w:numId w:val="0"/>
        </w:numPr>
        <w:spacing w:before="0" w:after="0"/>
        <w:ind w:hanging="0" w:start="720"/>
        <w:jc w:val="both"/>
        <w:rPr>
          <w:sz w:val="21"/>
          <w:szCs w:val="21"/>
        </w:rPr>
      </w:pPr>
      <w:r>
        <w:rPr>
          <w:sz w:val="21"/>
          <w:szCs w:val="21"/>
        </w:rPr>
      </w:r>
    </w:p>
    <w:p>
      <w:pPr>
        <w:pStyle w:val="ListParagraph"/>
        <w:numPr>
          <w:ilvl w:val="0"/>
          <w:numId w:val="0"/>
        </w:numPr>
        <w:spacing w:lineRule="auto" w:line="240" w:before="0" w:after="0"/>
        <w:ind w:hanging="0" w:start="720"/>
        <w:contextualSpacing/>
        <w:jc w:val="both"/>
        <w:rPr>
          <w:sz w:val="21"/>
          <w:szCs w:val="21"/>
        </w:rPr>
      </w:pPr>
      <w:r>
        <w:rPr>
          <w:rFonts w:eastAsia="Times New Roman" w:cs="Times New Roman" w:ascii="Times New Roman" w:hAnsi="Times New Roman"/>
          <w:b w:val="false"/>
          <w:bCs w:val="false"/>
          <w:i/>
          <w:iCs/>
          <w:color w:val="000000"/>
          <w:sz w:val="21"/>
          <w:szCs w:val="21"/>
          <w:lang w:eastAsia="it-IT"/>
        </w:rPr>
        <w:t xml:space="preserve">2) UNA PROPOSTA PROGETTUALE FINALIZZATA ALLO SVILUPPO DELLE AUTONOMIE PERSONALI, DELL’AUTOSTIMA, DELLE COMPETENZE SOCIALI E RELAZIONALI PER GIOVANI CON DISABILITÀ CHE VIVONO IN FAMIGLIA E NEL CONTEMPO AL SOSTEGNO AI CAREGIVERS FAMILIARI NEL PROCESSO DI COSTRUZIONE DELLA FIDUCIA VERSO SPAZI DI CRESCENTE AUTONOMIA, NONCHÉ DI SOLLIEVO DAL CARICO DI CURA. </w:t>
      </w:r>
      <w:r>
        <w:rPr>
          <w:rFonts w:eastAsia="Times New Roman" w:cs="Segoe UI" w:ascii="Times New Roman" w:hAnsi="Times New Roman"/>
          <w:color w:val="000000"/>
          <w:sz w:val="21"/>
          <w:szCs w:val="21"/>
          <w:lang w:eastAsia="it-IT"/>
        </w:rPr>
        <w:t>Avvio Procedimento ed approvazione atti”;</w:t>
        <w:br/>
      </w:r>
    </w:p>
    <w:p>
      <w:pPr>
        <w:pStyle w:val="ListParagraph"/>
        <w:numPr>
          <w:ilvl w:val="0"/>
          <w:numId w:val="1"/>
        </w:numPr>
        <w:spacing w:lineRule="auto" w:line="240" w:before="0" w:after="0"/>
        <w:contextualSpacing/>
        <w:rPr>
          <w:sz w:val="21"/>
          <w:szCs w:val="21"/>
        </w:rPr>
      </w:pPr>
      <w:r>
        <w:rPr>
          <w:rFonts w:eastAsia="Times New Roman" w:cs="Segoe UI" w:ascii="Times New Roman" w:hAnsi="Times New Roman"/>
          <w:color w:val="000000"/>
          <w:sz w:val="21"/>
          <w:szCs w:val="21"/>
          <w:lang w:eastAsia="it-IT"/>
        </w:rPr>
        <w:t>l’Avviso pubblicat</w:t>
      </w:r>
      <w:r>
        <w:rPr>
          <w:rFonts w:eastAsia="Times New Roman" w:cs="Segoe UI" w:ascii="Times New Roman" w:hAnsi="Times New Roman"/>
          <w:color w:val="000000"/>
          <w:kern w:val="0"/>
          <w:sz w:val="21"/>
          <w:szCs w:val="21"/>
          <w:lang w:val="it-IT" w:eastAsia="it-IT" w:bidi="ar-SA"/>
        </w:rPr>
        <w:t xml:space="preserve">o in data </w:t>
      </w:r>
      <w:r>
        <w:rPr>
          <w:rFonts w:eastAsia="Times New Roman" w:cs="Segoe UI" w:ascii="Times New Roman" w:hAnsi="Times New Roman"/>
          <w:color w:val="000000"/>
          <w:kern w:val="0"/>
          <w:sz w:val="21"/>
          <w:szCs w:val="21"/>
          <w:lang w:val="it-IT" w:eastAsia="it-IT" w:bidi="ar-SA"/>
        </w:rPr>
        <w:t>12</w:t>
      </w:r>
      <w:r>
        <w:rPr>
          <w:rFonts w:eastAsia="Times New Roman" w:cs="Segoe UI" w:ascii="Times New Roman" w:hAnsi="Times New Roman"/>
          <w:color w:val="000000"/>
          <w:kern w:val="0"/>
          <w:sz w:val="21"/>
          <w:szCs w:val="21"/>
          <w:lang w:val="it-IT" w:eastAsia="it-IT" w:bidi="ar-SA"/>
        </w:rPr>
        <w:t>/10/2026 di</w:t>
      </w:r>
      <w:r>
        <w:rPr>
          <w:rFonts w:eastAsia="Times New Roman" w:cs="Segoe UI" w:ascii="Times New Roman" w:hAnsi="Times New Roman"/>
          <w:color w:val="000000"/>
          <w:sz w:val="21"/>
          <w:szCs w:val="21"/>
          <w:lang w:eastAsia="it-IT"/>
        </w:rPr>
        <w:t xml:space="preserve"> indizione dell’istruttoria pubblica per la co-progettazione degli interventi di cui ai Documenti Progettuali;</w:t>
      </w:r>
    </w:p>
    <w:p>
      <w:pPr>
        <w:pStyle w:val="ListParagraph"/>
        <w:numPr>
          <w:ilvl w:val="0"/>
          <w:numId w:val="1"/>
        </w:numPr>
        <w:spacing w:lineRule="auto" w:line="240" w:before="0" w:after="0"/>
        <w:contextualSpacing/>
        <w:rPr>
          <w:sz w:val="21"/>
          <w:szCs w:val="21"/>
        </w:rPr>
      </w:pPr>
      <w:r>
        <w:rPr>
          <w:rFonts w:eastAsia="Times New Roman" w:cs="Segoe UI" w:ascii="Times New Roman" w:hAnsi="Times New Roman"/>
          <w:color w:val="000000"/>
          <w:sz w:val="21"/>
          <w:szCs w:val="21"/>
          <w:lang w:eastAsia="it-IT"/>
        </w:rPr>
        <w:t>i verbali del seggio istituito dall’Amministrazione procedente per la verifica della regolarità formale delle domande di partecipazione pervenute all’Amministrazione - entro il termine previsto dall’Avviso - nell’ambito della richiamata procedura ad evidenza pubblica;</w:t>
      </w:r>
    </w:p>
    <w:p>
      <w:pPr>
        <w:pStyle w:val="ListParagraph"/>
        <w:numPr>
          <w:ilvl w:val="0"/>
          <w:numId w:val="1"/>
        </w:numPr>
        <w:spacing w:lineRule="auto" w:line="240" w:before="0" w:afterAutospacing="1"/>
        <w:contextualSpacing/>
        <w:rPr>
          <w:sz w:val="21"/>
          <w:szCs w:val="21"/>
        </w:rPr>
      </w:pPr>
      <w:r>
        <w:rPr>
          <w:rFonts w:eastAsia="Times New Roman" w:cs="Segoe UI" w:ascii="Times New Roman" w:hAnsi="Times New Roman"/>
          <w:color w:val="000000"/>
          <w:sz w:val="21"/>
          <w:szCs w:val="21"/>
          <w:lang w:eastAsia="it-IT"/>
        </w:rPr>
        <w:t>la determ</w:t>
      </w:r>
      <w:r>
        <w:rPr>
          <w:rFonts w:eastAsia="Times New Roman" w:cs="Segoe UI" w:ascii="Times New Roman" w:hAnsi="Times New Roman"/>
          <w:color w:val="000000"/>
          <w:sz w:val="21"/>
          <w:szCs w:val="21"/>
          <w:shd w:fill="auto" w:val="clear"/>
          <w:lang w:eastAsia="it-IT"/>
        </w:rPr>
        <w:t xml:space="preserve">ina </w:t>
      </w:r>
      <w:r>
        <w:rPr>
          <w:rFonts w:eastAsia="Times New Roman" w:cs="Segoe UI" w:ascii="Times New Roman" w:hAnsi="Times New Roman"/>
          <w:color w:val="000000"/>
          <w:sz w:val="21"/>
          <w:szCs w:val="21"/>
          <w:shd w:fill="FFFF00" w:val="clear"/>
          <w:lang w:eastAsia="it-IT"/>
        </w:rPr>
        <w:t xml:space="preserve">n. __ del ___ </w:t>
      </w:r>
      <w:r>
        <w:rPr>
          <w:rFonts w:eastAsia="Times New Roman" w:cs="Segoe UI" w:ascii="Times New Roman" w:hAnsi="Times New Roman"/>
          <w:color w:val="000000"/>
          <w:sz w:val="21"/>
          <w:szCs w:val="21"/>
          <w:shd w:fill="auto" w:val="clear"/>
          <w:lang w:eastAsia="it-IT"/>
        </w:rPr>
        <w:t>di conclusione del procedimento più volte richiamato ad esito del quale sono stati individuati nel rispetto dell’e</w:t>
      </w:r>
      <w:r>
        <w:rPr>
          <w:rFonts w:eastAsia="Times New Roman" w:cs="Segoe UI" w:ascii="Times New Roman" w:hAnsi="Times New Roman"/>
          <w:color w:val="000000"/>
          <w:sz w:val="21"/>
          <w:szCs w:val="21"/>
          <w:lang w:eastAsia="it-IT"/>
        </w:rPr>
        <w:t>videnza pubblica i partners funzionali all’attuazione di attività e interventi posti a base della procedura di co-progettazione ed è stato approvato il Progetto Definitivo;</w:t>
      </w:r>
    </w:p>
    <w:p>
      <w:pPr>
        <w:pStyle w:val="Normal"/>
        <w:spacing w:lineRule="auto" w:line="240" w:beforeAutospacing="1" w:afterAutospacing="1"/>
        <w:jc w:val="both"/>
        <w:rPr>
          <w:sz w:val="21"/>
          <w:szCs w:val="21"/>
        </w:rPr>
      </w:pPr>
      <w:r>
        <w:rPr>
          <w:rFonts w:eastAsia="Times New Roman" w:cs="Segoe UI" w:ascii="Times New Roman" w:hAnsi="Times New Roman"/>
          <w:b/>
          <w:bCs/>
          <w:color w:val="000000"/>
          <w:sz w:val="21"/>
          <w:szCs w:val="21"/>
          <w:lang w:eastAsia="it-IT"/>
        </w:rPr>
        <w:t>Rilevato</w:t>
      </w:r>
      <w:r>
        <w:rPr>
          <w:rFonts w:eastAsia="Times New Roman" w:cs="Segoe UI" w:ascii="Times New Roman" w:hAnsi="Times New Roman"/>
          <w:color w:val="000000"/>
          <w:sz w:val="21"/>
          <w:szCs w:val="21"/>
          <w:lang w:eastAsia="it-IT"/>
        </w:rPr>
        <w:t xml:space="preserve"> infine che la verifica del possesso dei requisiti dell’ente attuatore partner degli interventi, autodichiarati nell’ambito della procedura ad evidenza pubblica, ha dato esito positivo e pertanto può procedersi con la sottoscrizione dell’accordo di collaborazione mediante il quale regolare i reciproci rapporti fra le parti;</w:t>
      </w:r>
    </w:p>
    <w:p>
      <w:pPr>
        <w:pStyle w:val="Heading6"/>
        <w:tabs>
          <w:tab w:val="clear" w:pos="708"/>
          <w:tab w:val="left" w:pos="10440" w:leader="none"/>
        </w:tabs>
        <w:spacing w:before="1" w:after="280"/>
        <w:ind w:hanging="0" w:start="0" w:end="106"/>
        <w:rPr>
          <w:sz w:val="21"/>
          <w:szCs w:val="21"/>
        </w:rPr>
      </w:pPr>
      <w:r>
        <w:rPr>
          <w:rFonts w:cs="Segoe UI"/>
          <w:sz w:val="21"/>
          <w:szCs w:val="21"/>
        </w:rPr>
        <w:t>Visti</w:t>
      </w:r>
    </w:p>
    <w:p>
      <w:pPr>
        <w:pStyle w:val="ListParagraph"/>
        <w:numPr>
          <w:ilvl w:val="0"/>
          <w:numId w:val="4"/>
        </w:numPr>
        <w:tabs>
          <w:tab w:val="clear" w:pos="708"/>
          <w:tab w:val="left" w:pos="540" w:leader="none"/>
          <w:tab w:val="left" w:pos="10440" w:leader="none"/>
        </w:tabs>
        <w:spacing w:before="1" w:after="160"/>
        <w:ind w:hanging="360" w:start="540" w:end="106"/>
        <w:contextualSpacing/>
        <w:jc w:val="both"/>
        <w:rPr>
          <w:sz w:val="21"/>
          <w:szCs w:val="21"/>
        </w:rPr>
      </w:pPr>
      <w:r>
        <w:rPr>
          <w:rFonts w:cs="Times New Roman" w:ascii="Times New Roman" w:hAnsi="Times New Roman"/>
          <w:b w:val="false"/>
          <w:bCs w:val="false"/>
          <w:sz w:val="21"/>
          <w:szCs w:val="21"/>
          <w:shd w:fill="auto" w:val="clear"/>
          <w:lang w:eastAsia="it-IT"/>
        </w:rPr>
        <w:t xml:space="preserve">la Legge 8 novembre 2000 n. 328 “Legge quadro per la realizzazione del sistema integrato di interventi sociali”: - all’art. 1 comma 5 dà ampia espressione del principio di sussidiarietà orizzontale, prevedendo che i soggetti del Terzo Settore debbano partecipare attivamente alla progettazione e alla realizzazione concreta degli interventi e servizi sociali; - all’art. 5 commi 2 e 3 prevede che ai fini dell’affidamento dei servizi previsti dalla legge, gli Enti Pubblici promuovono azioni per favorire la trasparenza amministrativa nonché il ricorso a forme di aggiudicazione o negoziali che consentono ai soggetti del Terzo Settore la piena espressione della propria progettualità, avvalendosi di analisi e verifiche che tengano conto della qualità e delle caratteristiche delle prestazioni offerte e dalla qualificazione del personale; </w:t>
      </w:r>
    </w:p>
    <w:p>
      <w:pPr>
        <w:pStyle w:val="NormaleWeb"/>
        <w:numPr>
          <w:ilvl w:val="0"/>
          <w:numId w:val="4"/>
        </w:numPr>
        <w:spacing w:before="240" w:after="240"/>
        <w:ind w:hanging="360" w:start="540"/>
        <w:jc w:val="both"/>
        <w:rPr>
          <w:sz w:val="21"/>
          <w:szCs w:val="21"/>
        </w:rPr>
      </w:pPr>
      <w:r>
        <w:rPr>
          <w:rFonts w:cs="Times New Roman"/>
          <w:b w:val="false"/>
          <w:bCs w:val="false"/>
          <w:sz w:val="21"/>
          <w:szCs w:val="21"/>
          <w:shd w:fill="auto" w:val="clear"/>
        </w:rPr>
        <w:t xml:space="preserve">la Legge della Regione Emilia-Romagna n. 2 del 12/03/2003 “Nome per la promozione della cittadinanza sociale e per la realizzazione del sistema integrato di interventi e servizi sociali”, perfettamente in linea con quanto sopra riportato; </w:t>
      </w:r>
    </w:p>
    <w:p>
      <w:pPr>
        <w:pStyle w:val="NormaleWeb"/>
        <w:numPr>
          <w:ilvl w:val="0"/>
          <w:numId w:val="4"/>
        </w:numPr>
        <w:spacing w:before="240" w:after="240"/>
        <w:ind w:hanging="360" w:start="540"/>
        <w:jc w:val="both"/>
        <w:rPr>
          <w:sz w:val="21"/>
          <w:szCs w:val="21"/>
        </w:rPr>
      </w:pPr>
      <w:r>
        <w:rPr>
          <w:rFonts w:cs="Times New Roman"/>
          <w:b w:val="false"/>
          <w:bCs w:val="false"/>
          <w:sz w:val="21"/>
          <w:szCs w:val="21"/>
          <w:shd w:fill="auto" w:val="clear"/>
        </w:rPr>
        <w:t xml:space="preserve">l’art. 119 del D.lgs. 18 agosto 2000 n. 267 “Testo Unico delle leggi sull’ordinamento degli Enti locali” in applicazione dell’art. 43 della L. 449/1997 prevede che i Comuni, le Province e gli Enti locali possano stipulare contratti di sponsorizzazione ed accordi di collaborazione, nonché convenzioni con soggetti pubblici o privati diretti a fornire consulenze o servizi aggiuntivi, al fine di favorire una migliore qualità dei servizi prestati; </w:t>
      </w:r>
    </w:p>
    <w:p>
      <w:pPr>
        <w:pStyle w:val="NormaleWeb"/>
        <w:numPr>
          <w:ilvl w:val="0"/>
          <w:numId w:val="4"/>
        </w:numPr>
        <w:spacing w:before="240" w:after="240"/>
        <w:ind w:hanging="360" w:start="540"/>
        <w:jc w:val="both"/>
        <w:rPr>
          <w:sz w:val="21"/>
          <w:szCs w:val="21"/>
        </w:rPr>
      </w:pPr>
      <w:r>
        <w:rPr>
          <w:rFonts w:cs="Times New Roman"/>
          <w:b w:val="false"/>
          <w:bCs w:val="false"/>
          <w:sz w:val="21"/>
          <w:szCs w:val="21"/>
          <w:shd w:fill="auto" w:val="clear"/>
        </w:rPr>
        <w:t xml:space="preserve">la Deliberazione dell’Autorità Nazionale Anticorruzione n. 32 del 20/01/2016 “Determinazione Linee Guida per l’affidamento di servizi ad Enti del Terzo Settore e alle cooperative sociali” prevede che: </w:t>
      </w:r>
    </w:p>
    <w:p>
      <w:pPr>
        <w:pStyle w:val="NormaleWeb"/>
        <w:numPr>
          <w:ilvl w:val="0"/>
          <w:numId w:val="4"/>
        </w:numPr>
        <w:spacing w:before="240" w:after="240"/>
        <w:ind w:hanging="360" w:start="540"/>
        <w:jc w:val="both"/>
        <w:rPr>
          <w:sz w:val="21"/>
          <w:szCs w:val="21"/>
        </w:rPr>
      </w:pPr>
      <w:r>
        <w:rPr>
          <w:rFonts w:cs="Times New Roman"/>
          <w:b w:val="false"/>
          <w:bCs w:val="false"/>
          <w:sz w:val="21"/>
          <w:szCs w:val="21"/>
          <w:shd w:fill="auto" w:val="clear"/>
        </w:rPr>
        <w:t>la co-progettazione si sostanzia in un accordo procedimentale di collaborazione che ha per oggetto la definizione di progetti innovativi e sperimentali di servizi, interventi e attività complesse da realizzare in termini di partenariato tra amministrazioni e privato sociale;</w:t>
      </w:r>
    </w:p>
    <w:p>
      <w:pPr>
        <w:pStyle w:val="NormaleWeb"/>
        <w:numPr>
          <w:ilvl w:val="0"/>
          <w:numId w:val="4"/>
        </w:numPr>
        <w:spacing w:before="240" w:after="240"/>
        <w:ind w:hanging="360" w:start="540"/>
        <w:jc w:val="both"/>
        <w:rPr>
          <w:sz w:val="21"/>
          <w:szCs w:val="21"/>
        </w:rPr>
      </w:pPr>
      <w:r>
        <w:rPr>
          <w:rFonts w:cs="Times New Roman"/>
          <w:b w:val="false"/>
          <w:bCs w:val="false"/>
          <w:sz w:val="21"/>
          <w:szCs w:val="21"/>
          <w:shd w:fill="auto" w:val="clear"/>
        </w:rPr>
        <w:t xml:space="preserve">la co-progettazione trova il proprio fondamento nei principi di sussidiarietà, trasparenza, partecipazione e sostegno dell’impegno privato nella funzione sociale. </w:t>
      </w:r>
    </w:p>
    <w:p>
      <w:pPr>
        <w:pStyle w:val="NormaleWeb"/>
        <w:numPr>
          <w:ilvl w:val="0"/>
          <w:numId w:val="4"/>
        </w:numPr>
        <w:spacing w:before="240" w:after="240"/>
        <w:ind w:hanging="360" w:start="540"/>
        <w:jc w:val="both"/>
        <w:rPr>
          <w:sz w:val="21"/>
          <w:szCs w:val="21"/>
        </w:rPr>
      </w:pPr>
      <w:r>
        <w:rPr>
          <w:rFonts w:cs="Times New Roman"/>
          <w:b w:val="false"/>
          <w:bCs w:val="false"/>
          <w:sz w:val="21"/>
          <w:szCs w:val="21"/>
          <w:shd w:fill="auto" w:val="clear"/>
        </w:rPr>
        <w:t xml:space="preserve">L’art. 55 del D.lgs 117 del 3/7/2017 “Codice del Terzo Settore” prevede che le amministrazioni pubbliche, in attuazione dei principi di sussidiarietà, cooperazione, efficacia, efficienza ed economicità, omogeneità, copertura finanziaria e patrimoniale, responsabilità ed unicità dell’amministrazione, autonomia organizzativa e regolamentare, “assicurano il coinvolgimento attivo degli Enti del Terzo Settore, </w:t>
      </w:r>
      <w:r>
        <w:rPr>
          <w:b w:val="false"/>
          <w:bCs w:val="false"/>
          <w:sz w:val="21"/>
          <w:szCs w:val="21"/>
        </w:rPr>
        <w:t xml:space="preserve">attraverso forme di co-programmazione e co-progettazione e accreditamento, poste in essere nel rispetto dei principi della legge 7 agosto 1990 n. 241, nonché delle norme che disciplinano specifici procedimenti ed in particolare di quelle relative alla programmazione sociale di zona ed al comma 3 si chiarisce che la co-progettazione è finalizzata alla definizione ed eventualmente alla realizzazione di specifici progetti di servizio o di intervento finalizzati a soddisfare bisogni definiti, alla luce degli strumenti di programmazione”; </w:t>
      </w:r>
    </w:p>
    <w:p>
      <w:pPr>
        <w:pStyle w:val="NormaleWeb"/>
        <w:numPr>
          <w:ilvl w:val="0"/>
          <w:numId w:val="4"/>
        </w:numPr>
        <w:spacing w:before="240" w:after="240"/>
        <w:ind w:hanging="360" w:start="540"/>
        <w:jc w:val="both"/>
        <w:rPr>
          <w:sz w:val="21"/>
          <w:szCs w:val="21"/>
        </w:rPr>
      </w:pPr>
      <w:r>
        <w:rPr>
          <w:b w:val="false"/>
          <w:bCs w:val="false"/>
          <w:sz w:val="21"/>
          <w:szCs w:val="21"/>
        </w:rPr>
        <w:t>il D.lgs n.</w:t>
      </w:r>
      <w:r>
        <w:rPr>
          <w:sz w:val="21"/>
          <w:szCs w:val="21"/>
        </w:rPr>
        <w:t xml:space="preserve"> 76 del 16/07/2020 coordinato con la Legge di conversione n. 120 del 11/09/2020 recante “Misure urgenti per la semplificazione e l’innovazione digitale” chiarisce ulteriormente il rapporto tra il Codice degli Appalti e il Codice del Terzo Settore in materia di affidamento di servizi agli Enti del Terzo Settore attraverso le modifiche di cui all’art. 8 comma 5 con i sub.0a), a-quarter), e c-bis); </w:t>
      </w:r>
    </w:p>
    <w:p>
      <w:pPr>
        <w:pStyle w:val="NormaleWeb"/>
        <w:numPr>
          <w:ilvl w:val="0"/>
          <w:numId w:val="4"/>
        </w:numPr>
        <w:spacing w:before="240" w:after="240"/>
        <w:ind w:hanging="360" w:start="540"/>
        <w:jc w:val="both"/>
        <w:rPr>
          <w:sz w:val="21"/>
          <w:szCs w:val="21"/>
        </w:rPr>
      </w:pPr>
      <w:r>
        <w:rPr>
          <w:sz w:val="21"/>
          <w:szCs w:val="21"/>
        </w:rPr>
        <w:t xml:space="preserve">i principi enunciati dalla Corte Costituzionale nella sentenza n. 131/2020 sulla cosiddetta “Amministrazione condivisa” anticipano di fatto il Decreto Semplificazioni 2020 che ha apportato modifiche al Codice dei Contratti, realizzando un coordinamento legislativo, sin qui mancante, tra il suddetto Codice e quello del Terzo Settore; </w:t>
      </w:r>
    </w:p>
    <w:p>
      <w:pPr>
        <w:pStyle w:val="ListParagraph"/>
        <w:numPr>
          <w:ilvl w:val="0"/>
          <w:numId w:val="4"/>
        </w:numPr>
        <w:tabs>
          <w:tab w:val="clear" w:pos="708"/>
          <w:tab w:val="left" w:pos="540" w:leader="none"/>
          <w:tab w:val="left" w:pos="10440" w:leader="none"/>
        </w:tabs>
        <w:spacing w:before="1" w:after="160"/>
        <w:ind w:hanging="360" w:start="540" w:end="106"/>
        <w:contextualSpacing/>
        <w:jc w:val="both"/>
        <w:rPr>
          <w:sz w:val="21"/>
          <w:szCs w:val="21"/>
        </w:rPr>
      </w:pPr>
      <w:r>
        <w:rPr>
          <w:rFonts w:cs="Segoe UI" w:ascii="Times New Roman" w:hAnsi="Times New Roman"/>
          <w:sz w:val="21"/>
          <w:szCs w:val="21"/>
          <w:lang w:eastAsia="it-IT"/>
        </w:rPr>
        <w:t>le linee guida regionali per l’amministrazione condivisa ai sensi della Legge Regionale n.3 del 13 aprile 2023 e azioni di sistema della Regione Emilia-Romagna di cui alla DGR n. 528/2026;</w:t>
      </w:r>
    </w:p>
    <w:p>
      <w:pPr>
        <w:pStyle w:val="NormaleWeb"/>
        <w:numPr>
          <w:ilvl w:val="0"/>
          <w:numId w:val="4"/>
        </w:numPr>
        <w:spacing w:before="240" w:after="240"/>
        <w:ind w:hanging="360" w:start="540"/>
        <w:jc w:val="both"/>
        <w:rPr>
          <w:sz w:val="21"/>
          <w:szCs w:val="21"/>
        </w:rPr>
      </w:pPr>
      <w:r>
        <w:rPr>
          <w:sz w:val="21"/>
          <w:szCs w:val="21"/>
        </w:rPr>
        <w:t>L.R. 2/2014 «Norme per il riconoscimento ed il sostegno del caregiver familiare (persona che presta volontariamente cura ed assistenza)», con cui la Regione Emilia-Romagna riconosce e promuove, nell’ambito delle politiche di welfare, la cura familiare e la solidarietà come beni sociali, in un’ottica di responsabilizzazione diffusa, sviluppo di comunità e partecipazione del Terzo Settore;</w:t>
      </w:r>
    </w:p>
    <w:p>
      <w:pPr>
        <w:pStyle w:val="NormaleWeb"/>
        <w:numPr>
          <w:ilvl w:val="0"/>
          <w:numId w:val="4"/>
        </w:numPr>
        <w:spacing w:before="240" w:after="240"/>
        <w:ind w:hanging="360" w:start="540"/>
        <w:jc w:val="both"/>
        <w:rPr>
          <w:sz w:val="21"/>
          <w:szCs w:val="21"/>
        </w:rPr>
      </w:pPr>
      <w:r>
        <w:rPr>
          <w:sz w:val="21"/>
          <w:szCs w:val="21"/>
        </w:rPr>
        <w:t xml:space="preserve">DGR 858/2017 che definisce le Linee attuative della LR 2/2014 con cui vengono declinati più nello specifico azioni e interventi da promuoversi a livello regionale, territoriale a cura di Comuni e Ausl e con il concorso del Terzo Settore; </w:t>
      </w:r>
    </w:p>
    <w:p>
      <w:pPr>
        <w:pStyle w:val="NormaleWeb"/>
        <w:numPr>
          <w:ilvl w:val="0"/>
          <w:numId w:val="4"/>
        </w:numPr>
        <w:spacing w:before="240" w:after="240"/>
        <w:ind w:hanging="360" w:start="540"/>
        <w:jc w:val="both"/>
        <w:rPr>
          <w:sz w:val="21"/>
          <w:szCs w:val="21"/>
        </w:rPr>
      </w:pPr>
      <w:r>
        <w:rPr>
          <w:sz w:val="21"/>
          <w:szCs w:val="21"/>
        </w:rPr>
        <w:t xml:space="preserve">il Piano sociale e sanitario regionale 2017-2019, nell’ambito di politiche per la prossimità e la domiciliarità, che ha assunto il riconoscimento del ruolo del caregiver familiare nel sistema di servizi sociali, sociosanitari e sanitari fra le priorità di intervento da sviluppare nell’ambito dei Piani di zona distrettuali per la salute e il benessere sociale, promuovendo il coinvolgimento delle organizzazioni del Terzo Settore; </w:t>
      </w:r>
    </w:p>
    <w:p>
      <w:pPr>
        <w:pStyle w:val="NormaleWeb"/>
        <w:numPr>
          <w:ilvl w:val="0"/>
          <w:numId w:val="4"/>
        </w:numPr>
        <w:spacing w:before="240" w:after="240"/>
        <w:ind w:hanging="360" w:start="540"/>
        <w:jc w:val="both"/>
        <w:rPr>
          <w:sz w:val="21"/>
          <w:szCs w:val="21"/>
        </w:rPr>
      </w:pPr>
      <w:r>
        <w:rPr>
          <w:sz w:val="21"/>
          <w:szCs w:val="21"/>
        </w:rPr>
        <w:t xml:space="preserve">le DGR 972/2025 “Linee di programmazione e finanziamento delle aziende del SSN per l’anno 2025” che prevede la partecipazione, da parte delle AUSL, alla programmazione territoriale integrata per il riconoscimento e il sostegno al caregiver familiare di cui alla L.R. 2/2014 nel sistema dei servizi sociali, socio-sanitari e sanitari; </w:t>
      </w:r>
    </w:p>
    <w:p>
      <w:pPr>
        <w:pStyle w:val="NormaleWeb"/>
        <w:numPr>
          <w:ilvl w:val="0"/>
          <w:numId w:val="4"/>
        </w:numPr>
        <w:spacing w:before="240" w:after="240"/>
        <w:ind w:hanging="360" w:start="540"/>
        <w:jc w:val="both"/>
        <w:rPr>
          <w:sz w:val="21"/>
          <w:szCs w:val="21"/>
        </w:rPr>
      </w:pPr>
      <w:r>
        <w:rPr>
          <w:sz w:val="21"/>
          <w:szCs w:val="21"/>
        </w:rPr>
        <w:t xml:space="preserve">le DGR 1237/2023 e 945/2024 recanti “Linee di programmazione e finanziamento della aziende del SS regionale […..]”,le quali hanno previsto la definizione e l’implementazione della procedura operativa per l’utilizzo della scheda di “Riconoscimento del caregiver famigliare” in fase di primo accesso, nell’ambito degli accordi di programma e funzionamento del PUA e dell’équipe integrata comune; </w:t>
      </w:r>
    </w:p>
    <w:p>
      <w:pPr>
        <w:pStyle w:val="NormaleWeb"/>
        <w:numPr>
          <w:ilvl w:val="0"/>
          <w:numId w:val="4"/>
        </w:numPr>
        <w:spacing w:before="240" w:after="240"/>
        <w:ind w:hanging="360" w:start="540"/>
        <w:jc w:val="both"/>
        <w:rPr>
          <w:sz w:val="21"/>
          <w:szCs w:val="21"/>
        </w:rPr>
      </w:pPr>
      <w:r>
        <w:rPr>
          <w:sz w:val="21"/>
          <w:szCs w:val="21"/>
        </w:rPr>
        <w:t>la DGR 2058 del 9/012/2025 “Programma regionale per l’utilizzo delle risorse del Fondo Regionale Caregiver di cui all’art. 7 TER della LR 2/2014 - Annualità 2025 – Impegno di spesa”;</w:t>
      </w:r>
    </w:p>
    <w:p>
      <w:pPr>
        <w:pStyle w:val="NormaleWeb"/>
        <w:numPr>
          <w:ilvl w:val="0"/>
          <w:numId w:val="4"/>
        </w:numPr>
        <w:spacing w:before="240" w:after="240"/>
        <w:ind w:hanging="360" w:start="540"/>
        <w:jc w:val="both"/>
        <w:rPr>
          <w:sz w:val="21"/>
          <w:szCs w:val="21"/>
        </w:rPr>
      </w:pPr>
      <w:r>
        <w:rPr>
          <w:sz w:val="21"/>
          <w:szCs w:val="21"/>
        </w:rPr>
        <w:t xml:space="preserve">la programmazione distrettuale Fondo Regionale Caregiver approvata dal Comitato di distretto del Rubicone, verbale prot. n. 5608/2026 attraverso le cui risorse sono stati programmati interventi finalizzati al sollievo e sostegno ai caregivers familiari; </w:t>
      </w:r>
    </w:p>
    <w:p>
      <w:pPr>
        <w:pStyle w:val="ListParagraph"/>
        <w:numPr>
          <w:ilvl w:val="0"/>
          <w:numId w:val="4"/>
        </w:numPr>
        <w:tabs>
          <w:tab w:val="clear" w:pos="708"/>
          <w:tab w:val="left" w:pos="540" w:leader="none"/>
          <w:tab w:val="left" w:pos="10440" w:leader="none"/>
        </w:tabs>
        <w:spacing w:before="1" w:after="160"/>
        <w:ind w:hanging="360" w:start="540" w:end="106"/>
        <w:contextualSpacing/>
        <w:jc w:val="both"/>
        <w:rPr>
          <w:sz w:val="21"/>
          <w:szCs w:val="21"/>
        </w:rPr>
      </w:pPr>
      <w:r>
        <w:rPr>
          <w:rFonts w:cs="Segoe UI" w:ascii="Times New Roman" w:hAnsi="Times New Roman"/>
          <w:sz w:val="21"/>
          <w:szCs w:val="21"/>
        </w:rPr>
        <w:t xml:space="preserve">lo Statuto dell’Unione Rubicone e </w:t>
      </w:r>
      <w:r>
        <w:rPr>
          <w:rFonts w:eastAsia="Times New Roman" w:cs="Segoe UI" w:ascii="Times New Roman" w:hAnsi="Times New Roman"/>
          <w:color w:val="auto"/>
          <w:kern w:val="0"/>
          <w:sz w:val="21"/>
          <w:szCs w:val="21"/>
          <w:lang w:val="it-IT" w:eastAsia="en-US" w:bidi="ar-SA"/>
        </w:rPr>
        <w:t>M</w:t>
      </w:r>
      <w:r>
        <w:rPr>
          <w:rFonts w:cs="Segoe UI" w:ascii="Times New Roman" w:hAnsi="Times New Roman"/>
          <w:sz w:val="21"/>
          <w:szCs w:val="21"/>
        </w:rPr>
        <w:t>are;</w:t>
      </w:r>
    </w:p>
    <w:p>
      <w:pPr>
        <w:pStyle w:val="ListParagraph"/>
        <w:numPr>
          <w:ilvl w:val="0"/>
          <w:numId w:val="0"/>
        </w:numPr>
        <w:tabs>
          <w:tab w:val="clear" w:pos="708"/>
          <w:tab w:val="left" w:pos="540" w:leader="none"/>
          <w:tab w:val="left" w:pos="10440" w:leader="none"/>
        </w:tabs>
        <w:spacing w:before="1" w:after="160"/>
        <w:ind w:hanging="0" w:start="0" w:end="106"/>
        <w:contextualSpacing/>
        <w:jc w:val="both"/>
        <w:rPr>
          <w:rFonts w:ascii="Times New Roman" w:hAnsi="Times New Roman"/>
          <w:sz w:val="21"/>
          <w:szCs w:val="21"/>
        </w:rPr>
      </w:pPr>
      <w:r>
        <w:rPr>
          <w:rFonts w:ascii="Times New Roman" w:hAnsi="Times New Roman"/>
          <w:sz w:val="21"/>
          <w:szCs w:val="21"/>
        </w:rPr>
      </w:r>
    </w:p>
    <w:p>
      <w:pPr>
        <w:pStyle w:val="ListParagraph"/>
        <w:numPr>
          <w:ilvl w:val="0"/>
          <w:numId w:val="4"/>
        </w:numPr>
        <w:tabs>
          <w:tab w:val="clear" w:pos="708"/>
          <w:tab w:val="left" w:pos="540" w:leader="none"/>
          <w:tab w:val="left" w:pos="10440" w:leader="none"/>
        </w:tabs>
        <w:spacing w:before="1" w:after="160"/>
        <w:ind w:hanging="360" w:start="540" w:end="106"/>
        <w:contextualSpacing/>
        <w:jc w:val="both"/>
        <w:rPr>
          <w:sz w:val="21"/>
          <w:szCs w:val="21"/>
        </w:rPr>
      </w:pPr>
      <w:r>
        <w:rPr>
          <w:rFonts w:cs="Segoe UI" w:ascii="Times New Roman" w:hAnsi="Times New Roman"/>
          <w:sz w:val="21"/>
          <w:szCs w:val="21"/>
        </w:rPr>
        <w:t>il Piano di zona distrettuale per la salute e il benessere sociale triennio 2018-2020 dell’ambito distrettuale del Rubicone, approvato con deliberazione Consiglio Unione n. 26 del 31/07/2018;</w:t>
      </w:r>
    </w:p>
    <w:p>
      <w:pPr>
        <w:pStyle w:val="ListParagraph"/>
        <w:numPr>
          <w:ilvl w:val="0"/>
          <w:numId w:val="0"/>
        </w:numPr>
        <w:tabs>
          <w:tab w:val="clear" w:pos="708"/>
          <w:tab w:val="left" w:pos="540" w:leader="none"/>
          <w:tab w:val="left" w:pos="10440" w:leader="none"/>
        </w:tabs>
        <w:spacing w:before="1" w:after="160"/>
        <w:ind w:hanging="0" w:start="540" w:end="106"/>
        <w:contextualSpacing/>
        <w:jc w:val="both"/>
        <w:rPr>
          <w:rFonts w:ascii="Times New Roman" w:hAnsi="Times New Roman" w:cs="Segoe UI"/>
          <w:sz w:val="21"/>
          <w:szCs w:val="21"/>
        </w:rPr>
      </w:pPr>
      <w:r>
        <w:rPr>
          <w:rFonts w:cs="Segoe UI" w:ascii="Times New Roman" w:hAnsi="Times New Roman"/>
          <w:sz w:val="21"/>
          <w:szCs w:val="21"/>
        </w:rPr>
      </w:r>
    </w:p>
    <w:p>
      <w:pPr>
        <w:pStyle w:val="ListParagraph"/>
        <w:numPr>
          <w:ilvl w:val="0"/>
          <w:numId w:val="4"/>
        </w:numPr>
        <w:tabs>
          <w:tab w:val="clear" w:pos="708"/>
          <w:tab w:val="left" w:pos="540" w:leader="none"/>
          <w:tab w:val="left" w:pos="10440" w:leader="none"/>
        </w:tabs>
        <w:spacing w:before="1" w:after="160"/>
        <w:ind w:hanging="360" w:start="540" w:end="106"/>
        <w:contextualSpacing/>
        <w:jc w:val="both"/>
        <w:rPr>
          <w:sz w:val="21"/>
          <w:szCs w:val="21"/>
        </w:rPr>
      </w:pPr>
      <w:r>
        <w:rPr>
          <w:rFonts w:cs="Segoe UI" w:ascii="Times New Roman" w:hAnsi="Times New Roman"/>
          <w:sz w:val="21"/>
          <w:szCs w:val="21"/>
          <w:lang w:eastAsia="it-IT"/>
        </w:rPr>
        <w:t xml:space="preserve">la delibera di Giunta dell’Unione Rubicone e </w:t>
      </w:r>
      <w:r>
        <w:rPr>
          <w:rFonts w:eastAsia="Times New Roman" w:cs="Segoe UI" w:ascii="Times New Roman" w:hAnsi="Times New Roman"/>
          <w:color w:val="auto"/>
          <w:kern w:val="0"/>
          <w:sz w:val="21"/>
          <w:szCs w:val="21"/>
          <w:lang w:val="it-IT" w:eastAsia="it-IT" w:bidi="ar-SA"/>
        </w:rPr>
        <w:t>M</w:t>
      </w:r>
      <w:r>
        <w:rPr>
          <w:rFonts w:cs="Segoe UI" w:ascii="Times New Roman" w:hAnsi="Times New Roman"/>
          <w:sz w:val="21"/>
          <w:szCs w:val="21"/>
          <w:lang w:eastAsia="it-IT"/>
        </w:rPr>
        <w:t>are n. 68 del 06/08/2026 che approva il “Programma attuativo 2026 del Piano distrettuale salute e benessere sociale 2018-2020 -Distretto del Rubicone”;</w:t>
      </w:r>
    </w:p>
    <w:p>
      <w:pPr>
        <w:pStyle w:val="ListParagraph"/>
        <w:numPr>
          <w:ilvl w:val="0"/>
          <w:numId w:val="0"/>
        </w:numPr>
        <w:tabs>
          <w:tab w:val="clear" w:pos="708"/>
          <w:tab w:val="left" w:pos="540" w:leader="none"/>
          <w:tab w:val="left" w:pos="10440" w:leader="none"/>
        </w:tabs>
        <w:spacing w:before="1" w:after="160"/>
        <w:ind w:hanging="0" w:start="540" w:end="106"/>
        <w:contextualSpacing/>
        <w:jc w:val="both"/>
        <w:rPr>
          <w:rFonts w:ascii="Times New Roman" w:hAnsi="Times New Roman"/>
          <w:sz w:val="21"/>
          <w:szCs w:val="21"/>
        </w:rPr>
      </w:pPr>
      <w:r>
        <w:rPr>
          <w:rFonts w:ascii="Times New Roman" w:hAnsi="Times New Roman"/>
          <w:sz w:val="21"/>
          <w:szCs w:val="21"/>
        </w:rPr>
      </w:r>
    </w:p>
    <w:p>
      <w:pPr>
        <w:pStyle w:val="Normal"/>
        <w:spacing w:lineRule="auto" w:line="240" w:beforeAutospacing="1" w:afterAutospacing="1"/>
        <w:rPr>
          <w:sz w:val="21"/>
          <w:szCs w:val="21"/>
        </w:rPr>
      </w:pPr>
      <w:r>
        <w:rPr>
          <w:rFonts w:eastAsia="Times New Roman" w:cs="Segoe UI" w:ascii="Times New Roman" w:hAnsi="Times New Roman"/>
          <w:color w:val="000000"/>
          <w:sz w:val="21"/>
          <w:szCs w:val="21"/>
          <w:lang w:eastAsia="it-IT"/>
        </w:rPr>
        <w:t>Tanto premesso,</w:t>
      </w:r>
    </w:p>
    <w:p>
      <w:pPr>
        <w:pStyle w:val="Normal"/>
        <w:spacing w:lineRule="auto" w:line="240" w:beforeAutospacing="1" w:afterAutospacing="1"/>
        <w:jc w:val="center"/>
        <w:rPr>
          <w:rFonts w:ascii="Times New Roman" w:hAnsi="Times New Roman" w:eastAsia="Times New Roman" w:cs="Segoe UI"/>
          <w:color w:val="000000"/>
          <w:sz w:val="21"/>
          <w:szCs w:val="21"/>
          <w:lang w:eastAsia="it-IT"/>
        </w:rPr>
      </w:pPr>
      <w:r>
        <w:rPr>
          <w:rFonts w:eastAsia="Times New Roman" w:cs="Segoe UI" w:ascii="Times New Roman" w:hAnsi="Times New Roman"/>
          <w:color w:val="000000"/>
          <w:sz w:val="21"/>
          <w:szCs w:val="21"/>
          <w:lang w:eastAsia="it-IT"/>
        </w:rPr>
      </w:r>
    </w:p>
    <w:p>
      <w:pPr>
        <w:pStyle w:val="Normal"/>
        <w:spacing w:lineRule="auto" w:line="240" w:beforeAutospacing="1" w:afterAutospacing="1"/>
        <w:jc w:val="center"/>
        <w:rPr>
          <w:sz w:val="21"/>
          <w:szCs w:val="21"/>
        </w:rPr>
      </w:pPr>
      <w:r>
        <w:rPr>
          <w:rFonts w:eastAsia="Times New Roman" w:cs="Segoe UI" w:ascii="Times New Roman" w:hAnsi="Times New Roman"/>
          <w:color w:val="000000"/>
          <w:sz w:val="21"/>
          <w:szCs w:val="21"/>
          <w:lang w:eastAsia="it-IT"/>
        </w:rPr>
        <w:t>SI CONVIENE QUANTO SEGUE</w:t>
      </w:r>
    </w:p>
    <w:p>
      <w:pPr>
        <w:pStyle w:val="Normal"/>
        <w:spacing w:lineRule="auto" w:line="240" w:beforeAutospacing="1" w:afterAutospacing="1"/>
        <w:rPr/>
      </w:pPr>
      <w:r>
        <w:rPr>
          <w:rFonts w:eastAsia="Times New Roman" w:cs="Segoe UI" w:ascii="Times New Roman" w:hAnsi="Times New Roman"/>
          <w:b/>
          <w:bCs/>
          <w:color w:val="000000"/>
          <w:sz w:val="21"/>
          <w:szCs w:val="21"/>
          <w:lang w:eastAsia="it-IT"/>
        </w:rPr>
        <w:t>ART. 1 – OGGETTO DELL’ACCORDO DI COLLABORAZIONE</w:t>
      </w:r>
    </w:p>
    <w:p>
      <w:pPr>
        <w:pStyle w:val="Normal"/>
        <w:spacing w:lineRule="auto" w:line="240" w:beforeAutospacing="1" w:afterAutospacing="1"/>
        <w:ind w:hanging="0"/>
        <w:jc w:val="both"/>
        <w:rPr>
          <w:sz w:val="21"/>
          <w:szCs w:val="21"/>
        </w:rPr>
      </w:pPr>
      <w:r>
        <w:rPr>
          <w:rFonts w:eastAsia="Times New Roman" w:cs="Segoe UI" w:ascii="Times New Roman" w:hAnsi="Times New Roman"/>
          <w:color w:val="000000"/>
          <w:sz w:val="21"/>
          <w:szCs w:val="21"/>
          <w:lang w:eastAsia="it-IT"/>
        </w:rPr>
        <w:t>Oggetto dell’accordo, sottoscritto fra le parti, è la regolamentazione del rapporto di collaborazione, finalizzato alla realizzazione degli interventi/attività previsti nel Progetto Definitivo, come declinato all’interno del Tavolo di co-progettazione, in relazione al Documento Progettuale (DP) posto a base della procedura ad evidenza pubblica e relativo ad “</w:t>
      </w:r>
      <w:r>
        <w:rPr>
          <w:rFonts w:eastAsia="Times New Roman" w:cs="Times New Roman" w:ascii="Times New Roman" w:hAnsi="Times New Roman"/>
          <w:b w:val="false"/>
          <w:bCs w:val="false"/>
          <w:i w:val="false"/>
          <w:iCs w:val="false"/>
          <w:color w:val="000000"/>
          <w:sz w:val="21"/>
          <w:szCs w:val="21"/>
          <w:shd w:fill="auto" w:val="clear"/>
          <w:lang w:eastAsia="it-IT"/>
        </w:rPr>
        <w:t xml:space="preserve">INTERVENTI E ATTIVITÀ FINALIZZATI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1"/>
          <w:sz w:val="21"/>
          <w:szCs w:val="21"/>
          <w:u w:val="none"/>
          <w:shd w:fill="auto" w:val="clear"/>
          <w:vertAlign w:val="baseline"/>
          <w:lang w:eastAsia="it-IT"/>
        </w:rPr>
        <w:t>ALLO SVILUPPO DELLE AUTONOMIE PERSONALI, DELL’AUTOSTIMA, DELLE COMPETENZE SOCIALI E RELAZIONALI PER GIOVANI CON DISABILITÀ CHE VIVONO IN FAMIGLIA E NEL CONTEMPO AL SOSTEGNO AI CAREGIVERS FAMILIARI NEL PROCESSO DI COSTRUZIONE DELLA FIDUCIA VERSO SPAZI DI CRESCENTE AUTONOMIA, NONCHÉ DI SOLLIEVO DAL CARICO DI CURA</w:t>
      </w:r>
      <w:r>
        <w:rPr>
          <w:rFonts w:eastAsia="Times New Roman" w:cs="Segoe UI" w:ascii="Times New Roman" w:hAnsi="Times New Roman"/>
          <w:color w:val="000000"/>
          <w:sz w:val="21"/>
          <w:szCs w:val="21"/>
          <w:lang w:eastAsia="it-IT"/>
        </w:rPr>
        <w:t>”.</w:t>
      </w:r>
    </w:p>
    <w:p>
      <w:pPr>
        <w:pStyle w:val="Normal"/>
        <w:spacing w:lineRule="auto" w:line="240" w:beforeAutospacing="1" w:afterAutospacing="1"/>
        <w:ind w:hanging="0"/>
        <w:jc w:val="both"/>
        <w:rPr>
          <w:sz w:val="21"/>
          <w:szCs w:val="21"/>
        </w:rPr>
      </w:pPr>
      <w:r>
        <w:rPr>
          <w:rFonts w:eastAsia="Times New Roman" w:cs="Segoe UI" w:ascii="Times New Roman" w:hAnsi="Times New Roman"/>
          <w:color w:val="000000"/>
          <w:sz w:val="21"/>
          <w:szCs w:val="21"/>
          <w:lang w:eastAsia="it-IT"/>
        </w:rPr>
        <w:t>I documenti richiamati nella premessa, sebbene non materialmente allegati al presente Accordo, ne costituiscono parte integrante e sostanziale.</w:t>
      </w:r>
    </w:p>
    <w:p>
      <w:pPr>
        <w:pStyle w:val="Normal"/>
        <w:spacing w:lineRule="auto" w:line="240" w:beforeAutospacing="1" w:afterAutospacing="1"/>
        <w:ind w:hanging="0"/>
        <w:jc w:val="both"/>
        <w:rPr>
          <w:sz w:val="21"/>
          <w:szCs w:val="21"/>
        </w:rPr>
      </w:pPr>
      <w:r>
        <w:rPr>
          <w:rFonts w:eastAsia="Times New Roman" w:cs="Segoe UI" w:ascii="Times New Roman" w:hAnsi="Times New Roman"/>
          <w:color w:val="000000"/>
          <w:sz w:val="21"/>
          <w:szCs w:val="21"/>
          <w:lang w:eastAsia="it-IT"/>
        </w:rPr>
        <w:t>L’EAP, con la sottoscrizione del presente accordo, si impegna affinch</w:t>
      </w:r>
      <w:r>
        <w:rPr>
          <w:rFonts w:eastAsia="Times New Roman" w:cs="Segoe UI" w:ascii="Times New Roman" w:hAnsi="Times New Roman"/>
          <w:color w:val="000000"/>
          <w:kern w:val="0"/>
          <w:sz w:val="21"/>
          <w:szCs w:val="21"/>
          <w:lang w:val="it-IT" w:eastAsia="it-IT" w:bidi="ar-SA"/>
        </w:rPr>
        <w:t>é</w:t>
      </w:r>
      <w:r>
        <w:rPr>
          <w:rFonts w:eastAsia="Times New Roman" w:cs="Segoe UI" w:ascii="Times New Roman" w:hAnsi="Times New Roman"/>
          <w:color w:val="000000"/>
          <w:sz w:val="21"/>
          <w:szCs w:val="21"/>
          <w:lang w:eastAsia="it-IT"/>
        </w:rPr>
        <w:t xml:space="preserve"> le attività co-progettate siano svolte con le modalità convenute e per il periodo concordato.</w:t>
      </w:r>
    </w:p>
    <w:p>
      <w:pPr>
        <w:pStyle w:val="Normal"/>
        <w:spacing w:lineRule="auto" w:line="240" w:beforeAutospacing="1" w:afterAutospacing="1"/>
        <w:ind w:hanging="0"/>
        <w:jc w:val="both"/>
        <w:rPr>
          <w:sz w:val="21"/>
          <w:szCs w:val="21"/>
        </w:rPr>
      </w:pPr>
      <w:r>
        <w:rPr>
          <w:rFonts w:eastAsia="Times New Roman" w:cs="Segoe UI" w:ascii="Times New Roman" w:hAnsi="Times New Roman"/>
          <w:color w:val="000000"/>
          <w:sz w:val="21"/>
          <w:szCs w:val="21"/>
          <w:lang w:eastAsia="it-IT"/>
        </w:rPr>
        <w:t>In ragione di quanto precede, l’EAP assume l’impegno di apportare agli interventi tutte le necessarie migliorie, che saranno concordate, nel corso del rapporto per assicurare la realizzazione delle attività di interesse generale, fermo restando quanto previsto dall’Avviso e dai relativi Allegati, e nello spirito tipico del rapporto di collaborazione attivato con la co-progettazione.</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ART. 2 – DURATA DELL’ACCORDO DI COLLABORAZIONE</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Il presente accordo di collaborazione ha validità dalla data di sottoscrizione fino al 31/12/2027, rinnovabile per un ulteriore anno.</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Resta inteso che il presente accordo cessa di produrre effetti giuridici in conseguenza di sopravvenute disposizioni, legislative e regolamentari, statali e regionali.</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ART. 3 – RISORSE MESSE A DISPOSIZIONE DELLE PARTI</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 xml:space="preserve">Per realizzare le finalità e gli obiettivi degli interventi, l’EAP mette a disposizione le risorse strumentali (attrezzature e mezzi), umane proprie (personale dipendente e/o prestatori d’opera intellettuale e/o di servizio, ecc. operanti a qualunque titolo) e finanziarie </w:t>
      </w:r>
      <w:r>
        <w:rPr>
          <w:rFonts w:eastAsia="Times New Roman" w:cs="Segoe UI" w:ascii="Times New Roman" w:hAnsi="Times New Roman"/>
          <w:color w:val="000000"/>
          <w:sz w:val="21"/>
          <w:szCs w:val="21"/>
          <w:highlight w:val="yellow"/>
          <w:lang w:eastAsia="it-IT"/>
        </w:rPr>
        <w:t>(specificare in base a quanto emerso dalla proposta Progettuale presentata).</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 xml:space="preserve">Per la realizzazione degli interventi previsti dall’Avviso, l’Unione Rubicone e </w:t>
      </w:r>
      <w:r>
        <w:rPr>
          <w:rFonts w:eastAsia="Times New Roman" w:cs="Segoe UI" w:ascii="Times New Roman" w:hAnsi="Times New Roman"/>
          <w:color w:val="000000"/>
          <w:kern w:val="0"/>
          <w:sz w:val="21"/>
          <w:szCs w:val="21"/>
          <w:lang w:val="it-IT" w:eastAsia="it-IT" w:bidi="ar-SA"/>
        </w:rPr>
        <w:t>M</w:t>
      </w:r>
      <w:r>
        <w:rPr>
          <w:rFonts w:eastAsia="Times New Roman" w:cs="Segoe UI" w:ascii="Times New Roman" w:hAnsi="Times New Roman"/>
          <w:color w:val="000000"/>
          <w:sz w:val="21"/>
          <w:szCs w:val="21"/>
          <w:lang w:eastAsia="it-IT"/>
        </w:rPr>
        <w:t>are ha messo a disposizione degli EAP le seguenti risorse da intendersi come “importi massimi” erogabili:</w:t>
      </w:r>
      <w:r>
        <w:rPr>
          <w:rFonts w:eastAsia="Times New Roman" w:cs="Segoe UI" w:ascii="Times New Roman" w:hAnsi="Times New Roman"/>
          <w:b/>
          <w:bCs/>
          <w:color w:val="000000"/>
          <w:sz w:val="21"/>
          <w:szCs w:val="21"/>
          <w:shd w:fill="auto" w:val="clear"/>
          <w:lang w:eastAsia="it-IT"/>
        </w:rPr>
        <w:t>€ 35.000,00 (Trentacinquemila,00 euro)</w:t>
      </w:r>
    </w:p>
    <w:p>
      <w:pPr>
        <w:pStyle w:val="Normal"/>
        <w:spacing w:lineRule="auto" w:line="240" w:beforeAutospacing="1" w:afterAutospacing="1"/>
        <w:rPr>
          <w:sz w:val="21"/>
          <w:szCs w:val="21"/>
        </w:rPr>
      </w:pPr>
      <w:r>
        <w:rPr>
          <w:rFonts w:eastAsia="Times New Roman" w:cs="Segoe UI" w:ascii="Times New Roman" w:hAnsi="Times New Roman"/>
          <w:color w:val="000000"/>
          <w:sz w:val="21"/>
          <w:szCs w:val="21"/>
          <w:lang w:eastAsia="it-IT"/>
        </w:rPr>
        <w:t xml:space="preserve">La rendicontazione e relativa liquidazione del contributo di cui trattasi è disciplinata dalle allegate </w:t>
      </w:r>
      <w:r>
        <w:rPr>
          <w:rFonts w:eastAsia="Times New Roman" w:cs="Segoe UI" w:ascii="Times New Roman" w:hAnsi="Times New Roman"/>
          <w:b/>
          <w:bCs/>
          <w:i/>
          <w:iCs/>
          <w:color w:val="000000"/>
          <w:sz w:val="21"/>
          <w:szCs w:val="21"/>
          <w:u w:val="single"/>
          <w:lang w:eastAsia="it-IT"/>
        </w:rPr>
        <w:t>Linee guida per la rendicontazione</w:t>
      </w:r>
      <w:r>
        <w:rPr>
          <w:rFonts w:eastAsia="Times New Roman" w:cs="Segoe UI" w:ascii="Times New Roman" w:hAnsi="Times New Roman"/>
          <w:color w:val="000000"/>
          <w:sz w:val="21"/>
          <w:szCs w:val="21"/>
          <w:lang w:eastAsia="it-IT"/>
        </w:rPr>
        <w:t>.</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 xml:space="preserve">ART. 4 – RISORSE UMANE UTILIZZATE </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Le risorse umane, impiegate nelle attività, sono quelle risultanti dalla proposta progettuale presentata dall’EAP.</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Il personale dell’EAP, operante a qualunque titolo nelle attività, risponde del proprio operato.</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Il Referente del progetto, come individuato nell’ambito della procedura di co-progettazione, vigilerà sullo svolgimento delle attività secondo modalità e termini ritenuti efficaci e collaborerà alle modalità di vigilanza e controllo attuate dall’Ente procedente nel rispetto di quanto riportato nelle allegate “Linee Guida su Monitoraggio e Vigilanza”.</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Con la sottoscrizione del presente accordo l’Ente attuatore partner si impegna a rispettare tutte le vigenti norme contrattuali, regolamentari, previdenziali, assicurative e di sicurezza dei luoghi di lavoro. Il rapporto con il personale dipendente o prestatori d’opera intellettuale o di servizio o di collaborazione ad altro titolo è regolato dalle normative contrattuali, previdenziali, assicurative e fiscali vigenti in materia.</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Tutto il personale impiegato svolgerà con impegno e diligenza i propri compiti, favorendo a tutti i livelli una responsabile collaborazione in armonia con le finalità e gli obiettivi del presente accordo, nonché della specifica natura giuridica del rapporto generato in termini di collaborazione.</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 xml:space="preserve">ART. 5 – ASSICURAZIONI </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A tutela degli interessi pubblici dell’Unione Rubicone e Mare, l’Ente Attuatore Partner, provvede alla copertura assicurativa di legge delle risorse umane, impiegate a qualunque titolo nelle attività di cui al presente accordo.</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 xml:space="preserve">L’Ente Attuatore Partner è responsabile civilmente e penalmente di tutti i danni di qualsiasi natura che possano derivare a persone o cose legate allo svolgimento delle attività, con la conseguenza che l’Unione Rubicone e Mare è sollevata da qualunque pretesa, azione, domanda o altro che possa loro derivare, direttamente od indirettamente, dalle attività del presente Accordo di collaborazione. </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 xml:space="preserve">A garanzia dei rischi connessi alle attività, l’Ente Attuatore </w:t>
      </w:r>
      <w:r>
        <w:rPr>
          <w:rFonts w:eastAsia="Times New Roman" w:cs="Segoe UI" w:ascii="Times New Roman" w:hAnsi="Times New Roman"/>
          <w:color w:val="000000"/>
          <w:sz w:val="21"/>
          <w:szCs w:val="21"/>
          <w:highlight w:val="yellow"/>
          <w:lang w:eastAsia="it-IT"/>
        </w:rPr>
        <w:t>“____________”</w:t>
      </w:r>
      <w:r>
        <w:rPr>
          <w:rFonts w:eastAsia="Times New Roman" w:cs="Segoe UI" w:ascii="Times New Roman" w:hAnsi="Times New Roman"/>
          <w:color w:val="000000"/>
          <w:sz w:val="21"/>
          <w:szCs w:val="21"/>
          <w:lang w:eastAsia="it-IT"/>
        </w:rPr>
        <w:t xml:space="preserve"> ha stipulato una polizza assicurativa, valida per tutto il periodo dell’Accordo, per responsabilità civile per danni a cose e persone, causati o subiti dai propri dipendenti, soci, prestatori o altri addetti che partecipano alle attività ed, in ogni caso, verso terzi, con massimali idonei, per sinistro, per persona e per danni a cose. L’Unione Rubicone e Mare è da considerarsi  “soggetto terzo” a tutti gli effetti.</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ART. 6 – FLUSSI FINANZIARI</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 xml:space="preserve">Il contributo riconosciuto a </w:t>
      </w:r>
      <w:r>
        <w:rPr>
          <w:rFonts w:eastAsia="Times New Roman" w:cs="Segoe UI" w:ascii="Times New Roman" w:hAnsi="Times New Roman"/>
          <w:color w:val="000000"/>
          <w:sz w:val="21"/>
          <w:szCs w:val="21"/>
          <w:highlight w:val="yellow"/>
          <w:lang w:eastAsia="it-IT"/>
        </w:rPr>
        <w:t>“_____(</w:t>
      </w:r>
      <w:r>
        <w:rPr>
          <w:rFonts w:eastAsia="Times New Roman" w:cs="Segoe UI" w:ascii="Times New Roman" w:hAnsi="Times New Roman"/>
          <w:i/>
          <w:iCs/>
          <w:color w:val="000000"/>
          <w:sz w:val="21"/>
          <w:szCs w:val="21"/>
          <w:highlight w:val="yellow"/>
          <w:lang w:eastAsia="it-IT"/>
        </w:rPr>
        <w:t>sogg. attuatore</w:t>
      </w:r>
      <w:r>
        <w:rPr>
          <w:rFonts w:eastAsia="Times New Roman" w:cs="Segoe UI" w:ascii="Times New Roman" w:hAnsi="Times New Roman"/>
          <w:color w:val="000000"/>
          <w:sz w:val="21"/>
          <w:szCs w:val="21"/>
          <w:highlight w:val="yellow"/>
          <w:lang w:eastAsia="it-IT"/>
        </w:rPr>
        <w:t>)___”</w:t>
      </w:r>
      <w:r>
        <w:rPr>
          <w:rFonts w:eastAsia="Times New Roman" w:cs="Segoe UI" w:ascii="Times New Roman" w:hAnsi="Times New Roman"/>
          <w:color w:val="000000"/>
          <w:sz w:val="21"/>
          <w:szCs w:val="21"/>
          <w:lang w:eastAsia="it-IT"/>
        </w:rPr>
        <w:t xml:space="preserve"> per l’espletamento delle attività individuate nel presente Accordo, così come indicato al precedente art. 3, verrà corrisposto con le modalità indicate nelle allegate “Linee guida alla rendicontazione”, di cui costituiscono parte integrante e sostanziale.</w:t>
      </w:r>
    </w:p>
    <w:p>
      <w:pPr>
        <w:pStyle w:val="Heading3"/>
        <w:spacing w:lineRule="auto" w:line="240" w:beforeAutospacing="1" w:afterAutospacing="1"/>
        <w:jc w:val="both"/>
        <w:rPr>
          <w:sz w:val="21"/>
          <w:szCs w:val="21"/>
        </w:rPr>
      </w:pPr>
      <w:r>
        <w:rPr>
          <w:rFonts w:eastAsia="Times New Roman" w:cs="Segoe UI" w:ascii="Times New Roman" w:hAnsi="Times New Roman"/>
          <w:b/>
          <w:bCs/>
          <w:i w:val="false"/>
          <w:caps w:val="false"/>
          <w:smallCaps w:val="false"/>
          <w:color w:val="0D0D0D"/>
          <w:spacing w:val="0"/>
          <w:sz w:val="21"/>
          <w:szCs w:val="21"/>
          <w:lang w:eastAsia="it-IT"/>
        </w:rPr>
        <w:t>Art. 7 - OBBLIGHI DI COMUNICAZIONE, DIVIETO DI DOPPIO FINANZIAMENTO, REVOCA E RECUPERO DELLE SOMME</w:t>
      </w:r>
    </w:p>
    <w:p>
      <w:pPr>
        <w:pStyle w:val="BodyText"/>
        <w:widowControl/>
        <w:numPr>
          <w:ilvl w:val="0"/>
          <w:numId w:val="0"/>
        </w:numPr>
        <w:bidi w:val="0"/>
        <w:spacing w:lineRule="auto" w:line="240" w:before="0" w:after="0"/>
        <w:ind w:hanging="0" w:start="0" w:end="0"/>
        <w:jc w:val="both"/>
        <w:rPr/>
      </w:pPr>
      <w:r>
        <w:rPr>
          <w:rFonts w:eastAsia="Times New Roman" w:cs="Segoe UI" w:ascii="Times New Roman" w:hAnsi="Times New Roman"/>
          <w:b w:val="false"/>
          <w:i w:val="false"/>
          <w:caps w:val="false"/>
          <w:smallCaps w:val="false"/>
          <w:color w:val="0D0D0D"/>
          <w:spacing w:val="0"/>
          <w:sz w:val="21"/>
          <w:szCs w:val="21"/>
          <w:lang w:eastAsia="it-IT"/>
        </w:rPr>
        <w:t xml:space="preserve">L’Ente del Terzo Settore (ETS) si impegna a comunicare tempestivamente e comunque entro </w:t>
      </w:r>
      <w:r>
        <w:rPr>
          <w:rStyle w:val="Strong"/>
          <w:rFonts w:eastAsia="Times New Roman" w:cs="Segoe UI" w:ascii="Times New Roman" w:hAnsi="Times New Roman"/>
          <w:b/>
          <w:i w:val="false"/>
          <w:caps w:val="false"/>
          <w:smallCaps w:val="false"/>
          <w:color w:val="0D0D0D"/>
          <w:spacing w:val="0"/>
          <w:sz w:val="21"/>
          <w:szCs w:val="21"/>
          <w:lang w:eastAsia="it-IT"/>
        </w:rPr>
        <w:t>5 giorni lavorativi</w:t>
      </w:r>
      <w:r>
        <w:rPr>
          <w:rFonts w:eastAsia="Times New Roman" w:cs="Segoe UI" w:ascii="Times New Roman" w:hAnsi="Times New Roman"/>
          <w:b w:val="false"/>
          <w:i w:val="false"/>
          <w:caps w:val="false"/>
          <w:smallCaps w:val="false"/>
          <w:color w:val="0D0D0D"/>
          <w:spacing w:val="0"/>
          <w:sz w:val="21"/>
          <w:szCs w:val="21"/>
          <w:lang w:eastAsia="it-IT"/>
        </w:rPr>
        <w:t xml:space="preserve"> dal momento in cui ne venga a conoscenza, al soggetto pubblico sottoscrittore del presente Accordo, ogni circostanza, fatto o provvedimento che possa incidere sul finanziamento riconosciuto nell’ambito della presente co-progettazione, ivi compresa l’eventuale concessione, richiesta o percezione di ulteriori contributi, sovvenzioni, finanziamenti o altre forme di sostegno pubblico o privato destinati, anche parzialmente, alla realizzazione delle medesime attività, interventi o spese oggetto del presente Accordo.</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pPr>
      <w:r>
        <w:rPr>
          <w:rFonts w:eastAsia="Times New Roman" w:cs="Segoe UI" w:ascii="Times New Roman" w:hAnsi="Times New Roman"/>
          <w:b w:val="false"/>
          <w:i w:val="false"/>
          <w:caps w:val="false"/>
          <w:smallCaps w:val="false"/>
          <w:color w:val="0D0D0D"/>
          <w:spacing w:val="0"/>
          <w:sz w:val="21"/>
          <w:szCs w:val="21"/>
          <w:lang w:eastAsia="it-IT"/>
        </w:rPr>
        <w:t xml:space="preserve">È fatto espresso divieto all’ETS di imputare le medesime spese a più fonti di finanziamento, determinando una situazione di </w:t>
      </w:r>
      <w:r>
        <w:rPr>
          <w:rStyle w:val="Strong"/>
          <w:rFonts w:eastAsia="Times New Roman" w:cs="Segoe UI" w:ascii="Times New Roman" w:hAnsi="Times New Roman"/>
          <w:b/>
          <w:i w:val="false"/>
          <w:caps w:val="false"/>
          <w:smallCaps w:val="false"/>
          <w:color w:val="0D0D0D"/>
          <w:spacing w:val="0"/>
          <w:sz w:val="21"/>
          <w:szCs w:val="21"/>
          <w:lang w:eastAsia="it-IT"/>
        </w:rPr>
        <w:t>doppio finanziamento</w:t>
      </w:r>
      <w:r>
        <w:rPr>
          <w:rFonts w:eastAsia="Times New Roman" w:cs="Segoe UI" w:ascii="Times New Roman" w:hAnsi="Times New Roman"/>
          <w:b w:val="false"/>
          <w:i w:val="false"/>
          <w:caps w:val="false"/>
          <w:smallCaps w:val="false"/>
          <w:color w:val="0D0D0D"/>
          <w:spacing w:val="0"/>
          <w:sz w:val="21"/>
          <w:szCs w:val="21"/>
          <w:lang w:eastAsia="it-IT"/>
        </w:rPr>
        <w:t>, inteso quale copertura della medesima spesa mediante due o più contributi, finanziamenti o altre forme di sostegno incompatibili tra loro, ove ciò comporti una duplicazione della copertura finanziaria della medesima spesa.</w:t>
      </w:r>
    </w:p>
    <w:p>
      <w:pPr>
        <w:pStyle w:val="BodyText"/>
        <w:widowControl/>
        <w:numPr>
          <w:ilvl w:val="0"/>
          <w:numId w:val="6"/>
        </w:numPr>
        <w:tabs>
          <w:tab w:val="clear" w:pos="708"/>
          <w:tab w:val="left" w:pos="0" w:leader="none"/>
        </w:tabs>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sz w:val="21"/>
          <w:szCs w:val="21"/>
        </w:rPr>
      </w:pPr>
      <w:r>
        <w:rPr>
          <w:rFonts w:eastAsia="Times New Roman" w:cs="Segoe UI" w:ascii="Times New Roman" w:hAnsi="Times New Roman"/>
          <w:b w:val="false"/>
          <w:i w:val="false"/>
          <w:caps w:val="false"/>
          <w:smallCaps w:val="false"/>
          <w:color w:val="0D0D0D"/>
          <w:spacing w:val="0"/>
          <w:sz w:val="21"/>
          <w:szCs w:val="21"/>
          <w:lang w:eastAsia="it-IT"/>
        </w:rPr>
        <w:t>L’ETS è tenuto a garantire la piena tracciabilità delle risorse ricevute e delle spese sostenute nell’ambito della co-progettazione, conservando la relativa documentazione giustificativa e rendendola disponibile, su richiesta, al soggetto pubblico e agli eventuali organi competenti per le attività di controllo e verifica.</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pPr>
      <w:r>
        <w:rPr>
          <w:rFonts w:eastAsia="Times New Roman" w:cs="Segoe UI" w:ascii="Times New Roman" w:hAnsi="Times New Roman"/>
          <w:b w:val="false"/>
          <w:i w:val="false"/>
          <w:caps w:val="false"/>
          <w:smallCaps w:val="false"/>
          <w:color w:val="0D0D0D"/>
          <w:spacing w:val="0"/>
          <w:sz w:val="21"/>
          <w:szCs w:val="21"/>
          <w:lang w:eastAsia="it-IT"/>
        </w:rPr>
        <w:t xml:space="preserve">Qualora, a seguito di controlli, verifiche o accertamenti effettuati dal soggetto pubblico o da altra competente Autorità, sia accertata una situazione di </w:t>
      </w:r>
      <w:r>
        <w:rPr>
          <w:rStyle w:val="Strong"/>
          <w:rFonts w:eastAsia="Times New Roman" w:cs="Segoe UI" w:ascii="Times New Roman" w:hAnsi="Times New Roman"/>
          <w:b/>
          <w:i w:val="false"/>
          <w:caps w:val="false"/>
          <w:smallCaps w:val="false"/>
          <w:color w:val="0D0D0D"/>
          <w:spacing w:val="0"/>
          <w:sz w:val="21"/>
          <w:szCs w:val="21"/>
          <w:lang w:eastAsia="it-IT"/>
        </w:rPr>
        <w:t>doppio finanziamento</w:t>
      </w:r>
      <w:r>
        <w:rPr>
          <w:rFonts w:eastAsia="Times New Roman" w:cs="Segoe UI" w:ascii="Times New Roman" w:hAnsi="Times New Roman"/>
          <w:b w:val="false"/>
          <w:i w:val="false"/>
          <w:caps w:val="false"/>
          <w:smallCaps w:val="false"/>
          <w:color w:val="0D0D0D"/>
          <w:spacing w:val="0"/>
          <w:sz w:val="21"/>
          <w:szCs w:val="21"/>
          <w:lang w:eastAsia="it-IT"/>
        </w:rPr>
        <w:t xml:space="preserve"> riferita, in tutto o in parte, alle attività o alle spese oggetto del presente Accordo, il soggetto pubblico procederà, previa contestazione all’ETS e nel rispetto delle garanzie procedimentali previste dalla normativa vigente, alla </w:t>
      </w:r>
      <w:r>
        <w:rPr>
          <w:rStyle w:val="Strong"/>
          <w:rFonts w:eastAsia="Times New Roman" w:cs="Segoe UI" w:ascii="Times New Roman" w:hAnsi="Times New Roman"/>
          <w:b/>
          <w:i w:val="false"/>
          <w:caps w:val="false"/>
          <w:smallCaps w:val="false"/>
          <w:color w:val="0D0D0D"/>
          <w:spacing w:val="0"/>
          <w:sz w:val="21"/>
          <w:szCs w:val="21"/>
          <w:lang w:eastAsia="it-IT"/>
        </w:rPr>
        <w:t>revoca, totale o parziale, del finanziamento</w:t>
      </w:r>
      <w:r>
        <w:rPr>
          <w:rFonts w:eastAsia="Times New Roman" w:cs="Segoe UI" w:ascii="Times New Roman" w:hAnsi="Times New Roman"/>
          <w:b w:val="false"/>
          <w:i w:val="false"/>
          <w:caps w:val="false"/>
          <w:smallCaps w:val="false"/>
          <w:color w:val="0D0D0D"/>
          <w:spacing w:val="0"/>
          <w:sz w:val="21"/>
          <w:szCs w:val="21"/>
          <w:lang w:eastAsia="it-IT"/>
        </w:rPr>
        <w:t xml:space="preserve"> concesso nell’ambito della presente co-progettazione, limitatamente alle somme interessate dall’accertamento, fatto salvo il maggior danno ove ne ricorrano i presupposti.</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pPr>
      <w:r>
        <w:rPr>
          <w:rFonts w:eastAsia="Times New Roman" w:cs="Segoe UI" w:ascii="Times New Roman" w:hAnsi="Times New Roman"/>
          <w:b w:val="false"/>
          <w:i w:val="false"/>
          <w:caps w:val="false"/>
          <w:smallCaps w:val="false"/>
          <w:color w:val="0D0D0D"/>
          <w:spacing w:val="0"/>
          <w:sz w:val="21"/>
          <w:szCs w:val="21"/>
          <w:lang w:eastAsia="it-IT"/>
        </w:rPr>
        <w:t xml:space="preserve">In caso di revoca, l’ETS sarà tenuto a </w:t>
      </w:r>
      <w:r>
        <w:rPr>
          <w:rStyle w:val="Strong"/>
          <w:rFonts w:eastAsia="Times New Roman" w:cs="Segoe UI" w:ascii="Times New Roman" w:hAnsi="Times New Roman"/>
          <w:b/>
          <w:i w:val="false"/>
          <w:caps w:val="false"/>
          <w:smallCaps w:val="false"/>
          <w:color w:val="0D0D0D"/>
          <w:spacing w:val="0"/>
          <w:sz w:val="21"/>
          <w:szCs w:val="21"/>
          <w:lang w:eastAsia="it-IT"/>
        </w:rPr>
        <w:t>restituire le somme indebitamente percepite</w:t>
      </w:r>
      <w:r>
        <w:rPr>
          <w:rFonts w:eastAsia="Times New Roman" w:cs="Segoe UI" w:ascii="Times New Roman" w:hAnsi="Times New Roman"/>
          <w:b w:val="false"/>
          <w:i w:val="false"/>
          <w:caps w:val="false"/>
          <w:smallCaps w:val="false"/>
          <w:color w:val="0D0D0D"/>
          <w:spacing w:val="0"/>
          <w:sz w:val="21"/>
          <w:szCs w:val="21"/>
          <w:lang w:eastAsia="it-IT"/>
        </w:rPr>
        <w:t xml:space="preserve">, ovvero le somme oggetto di doppio finanziamento, entro il termine di </w:t>
      </w:r>
      <w:r>
        <w:rPr>
          <w:rStyle w:val="Strong"/>
          <w:rFonts w:eastAsia="Times New Roman" w:cs="Segoe UI" w:ascii="Times New Roman" w:hAnsi="Times New Roman"/>
          <w:b/>
          <w:i w:val="false"/>
          <w:caps w:val="false"/>
          <w:smallCaps w:val="false"/>
          <w:color w:val="0D0D0D"/>
          <w:spacing w:val="0"/>
          <w:sz w:val="21"/>
          <w:szCs w:val="21"/>
          <w:lang w:eastAsia="it-IT"/>
        </w:rPr>
        <w:t>30 giorni</w:t>
      </w:r>
      <w:r>
        <w:rPr>
          <w:rFonts w:eastAsia="Times New Roman" w:cs="Segoe UI" w:ascii="Times New Roman" w:hAnsi="Times New Roman"/>
          <w:b w:val="false"/>
          <w:i w:val="false"/>
          <w:caps w:val="false"/>
          <w:smallCaps w:val="false"/>
          <w:color w:val="0D0D0D"/>
          <w:spacing w:val="0"/>
          <w:sz w:val="21"/>
          <w:szCs w:val="21"/>
          <w:lang w:eastAsia="it-IT"/>
        </w:rPr>
        <w:t xml:space="preserve"> dalla ricezione del provvedimento di revoca e richiesta di restituzione, salvo diverso termine previsto dalla normativa applicabile o stabilito nel provvedimento medesimo.</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pPr>
      <w:r>
        <w:rPr>
          <w:rFonts w:ascii="Times New Roman" w:hAnsi="Times New Roman"/>
          <w:sz w:val="21"/>
          <w:szCs w:val="21"/>
        </w:rPr>
        <w:t xml:space="preserve">La restituzione comprenderà, ove dovuti ai sensi della normativa vigente, anche gli eventuali </w:t>
      </w:r>
      <w:r>
        <w:rPr>
          <w:rStyle w:val="Strong"/>
          <w:rFonts w:ascii="Times New Roman" w:hAnsi="Times New Roman"/>
          <w:b/>
          <w:sz w:val="21"/>
          <w:szCs w:val="21"/>
        </w:rPr>
        <w:t>interessi e ulteriori oneri conseguenti all’indebita percezione delle somme</w:t>
      </w:r>
      <w:r>
        <w:rPr>
          <w:rFonts w:ascii="Times New Roman" w:hAnsi="Times New Roman"/>
          <w:sz w:val="21"/>
          <w:szCs w:val="21"/>
        </w:rPr>
        <w:t>, decorrenti dalla data prevista dalla legge o dal provvedimento di revoca.</w:t>
      </w:r>
    </w:p>
    <w:p>
      <w:pPr>
        <w:pStyle w:val="BodyText"/>
        <w:widowControl/>
        <w:numPr>
          <w:ilvl w:val="0"/>
          <w:numId w:val="0"/>
        </w:numPr>
        <w:bidi w:val="0"/>
        <w:spacing w:lineRule="auto" w:line="240" w:before="0" w:after="0"/>
        <w:ind w:hanging="0" w:start="0" w:end="0"/>
        <w:jc w:val="both"/>
        <w:rPr>
          <w:rFonts w:ascii="Times New Roman" w:hAnsi="Times New Roman"/>
          <w:sz w:val="21"/>
          <w:szCs w:val="21"/>
        </w:rPr>
      </w:pPr>
      <w:r>
        <w:rPr>
          <w:rFonts w:ascii="Times New Roman" w:hAnsi="Times New Roman"/>
          <w:sz w:val="21"/>
          <w:szCs w:val="21"/>
        </w:rPr>
      </w:r>
    </w:p>
    <w:p>
      <w:pPr>
        <w:pStyle w:val="BodyText"/>
        <w:widowControl/>
        <w:numPr>
          <w:ilvl w:val="0"/>
          <w:numId w:val="0"/>
        </w:numPr>
        <w:bidi w:val="0"/>
        <w:spacing w:lineRule="auto" w:line="240" w:before="0" w:after="0"/>
        <w:ind w:hanging="0" w:start="0" w:end="0"/>
        <w:jc w:val="both"/>
        <w:rPr>
          <w:sz w:val="21"/>
          <w:szCs w:val="21"/>
        </w:rPr>
      </w:pPr>
      <w:r>
        <w:rPr>
          <w:rFonts w:eastAsia="Times New Roman" w:cs="Segoe UI" w:ascii="Times New Roman" w:hAnsi="Times New Roman"/>
          <w:b w:val="false"/>
          <w:i w:val="false"/>
          <w:caps w:val="false"/>
          <w:smallCaps w:val="false"/>
          <w:color w:val="0D0D0D"/>
          <w:spacing w:val="0"/>
          <w:sz w:val="21"/>
          <w:szCs w:val="21"/>
          <w:lang w:eastAsia="it-IT"/>
        </w:rPr>
        <w:t>L’omessa, tardiva o non veritiera comunicazione delle circostanze di cui al presente articolo, nonché l’accertata imputazione delle medesime spese a più fonti di finanziamento, costituisce grave inadempimento degli obblighi assunti con il presente Accordo e può comportare, oltre alla revoca e al recupero delle somme, la risoluzione dell’Accordo nei casi e secondo le modalità previste dalla normativa vigente e dal presente Accordo.</w:t>
      </w:r>
    </w:p>
    <w:p>
      <w:pPr>
        <w:pStyle w:val="BodyText"/>
        <w:widowControl/>
        <w:numPr>
          <w:ilvl w:val="0"/>
          <w:numId w:val="0"/>
        </w:numPr>
        <w:bidi w:val="0"/>
        <w:spacing w:lineRule="auto" w:line="240" w:before="0" w:after="0"/>
        <w:ind w:hanging="0" w:start="0" w:end="0"/>
        <w:jc w:val="both"/>
        <w:rPr>
          <w:rFonts w:ascii="Times New Roman" w:hAnsi="Times New Roman" w:eastAsia="Times New Roman" w:cs="Segoe UI"/>
          <w:b w:val="false"/>
          <w:i w:val="false"/>
          <w:i w:val="false"/>
          <w:caps w:val="false"/>
          <w:smallCaps w:val="false"/>
          <w:color w:val="0D0D0D"/>
          <w:spacing w:val="0"/>
          <w:sz w:val="21"/>
          <w:szCs w:val="21"/>
          <w:lang w:eastAsia="it-IT"/>
        </w:rPr>
      </w:pPr>
      <w:r>
        <w:rPr>
          <w:rFonts w:eastAsia="Times New Roman" w:cs="Segoe UI" w:ascii="Times New Roman" w:hAnsi="Times New Roman"/>
          <w:b w:val="false"/>
          <w:i w:val="false"/>
          <w:caps w:val="false"/>
          <w:smallCaps w:val="false"/>
          <w:color w:val="0D0D0D"/>
          <w:spacing w:val="0"/>
          <w:sz w:val="21"/>
          <w:szCs w:val="21"/>
          <w:lang w:eastAsia="it-IT"/>
        </w:rPr>
      </w:r>
    </w:p>
    <w:p>
      <w:pPr>
        <w:pStyle w:val="BodyText"/>
        <w:widowControl/>
        <w:numPr>
          <w:ilvl w:val="0"/>
          <w:numId w:val="0"/>
        </w:numPr>
        <w:bidi w:val="0"/>
        <w:spacing w:lineRule="auto" w:line="240" w:before="0" w:after="0"/>
        <w:ind w:hanging="0" w:start="0" w:end="0"/>
        <w:jc w:val="both"/>
        <w:rPr>
          <w:sz w:val="21"/>
          <w:szCs w:val="21"/>
        </w:rPr>
      </w:pPr>
      <w:r>
        <w:rPr>
          <w:rFonts w:ascii="Times New Roman" w:hAnsi="Times New Roman"/>
          <w:b w:val="false"/>
          <w:i w:val="false"/>
          <w:caps w:val="false"/>
          <w:smallCaps w:val="false"/>
          <w:color w:val="0D0D0D"/>
          <w:spacing w:val="0"/>
          <w:sz w:val="21"/>
          <w:szCs w:val="21"/>
        </w:rPr>
        <w:t>Resta fermo il diritto del soggetto pubblico di effettuare ogni ulteriore controllo e di adottare gli eventuali provvedimenti di propria competenza qualora l’accertamento del doppio finanziamento derivi da controlli effettuati da altre Amministrazioni, Autorità o organismi competenti.</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ART. 8 – DIVIETO DI CESSIONE</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È vietato cedere anche parzialmente il presente Accordo di Collaborazione, pena l’immediata risoluzione della stessa e il risarcimento dei danni e delle spese causate all’Ente procedente.</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È fatto divieto di subappaltare totalmente o parzialmente le attività, al di fuori degli eventuali rapporti di partenariato, individuati in sede di presentazione della proposta progettuale, pena l’immediata risoluzione dell’Accordo ed il risarcimento dei danni, e di quanto previsto dalla proposta progettuale, e di quanto previsto dalla vigente disciplina di riferimento, in quanto applicabile.</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 xml:space="preserve">Con la sottoscrizione del presente Accordo di collaborazione gli EAP assumono l’impegno, in attuazione del principio di buona fede, di comunicare all’Unione Rubicone e </w:t>
      </w:r>
      <w:r>
        <w:rPr>
          <w:rFonts w:eastAsia="Times New Roman" w:cs="Segoe UI" w:ascii="Times New Roman" w:hAnsi="Times New Roman"/>
          <w:color w:val="000000"/>
          <w:kern w:val="0"/>
          <w:sz w:val="21"/>
          <w:szCs w:val="21"/>
          <w:lang w:val="it-IT" w:eastAsia="it-IT" w:bidi="ar-SA"/>
        </w:rPr>
        <w:t>M</w:t>
      </w:r>
      <w:r>
        <w:rPr>
          <w:rFonts w:eastAsia="Times New Roman" w:cs="Segoe UI" w:ascii="Times New Roman" w:hAnsi="Times New Roman"/>
          <w:color w:val="000000"/>
          <w:sz w:val="21"/>
          <w:szCs w:val="21"/>
          <w:lang w:eastAsia="it-IT"/>
        </w:rPr>
        <w:t>are e all’Azienda USL Romagna le criticità e le problematiche che dovessero insorgere al fine di scongiurare, ove possibile, le ipotesi previste dal precedente comma.</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ART. 9 – MONITORAGGIO DELLE ATTIVITÀ</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L’Ente Procedente assicura il monitoraggio sulle attività svolte dagli EAP, attraverso la verifica periodica del perseguimento degli obiettivi in rapporto alle attività, oggetto dell’Accordo di collaborazione e riservandosi di apportare tutte le variazioni che dovesse ritenere utili alla buona riuscita delle azioni ivi contemplate, senza che ciò comporti ulteriori oneri a carico degli EAP, i quali sono tenuti ad apportare le variazioni richieste, ove non eccessivamente onerose, irragionevoli e sproporzionate ed a segnalare senza indugio all’Amministrazione eventuali elementi di criticità rilevati.</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A tale proposito le Parti si danno reciprocamente atto che, nelle ipotesi di cui al comma 1, potrà essere riconvocato il Tavolo di co-progettazione per definire quanto necessario e/o utile; per le eventuali modifiche, non essenziali, si applica l’art. 11 della L. n. 241/90 e ss.mm.</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L’EAP, con le scadenze indicate nelle “</w:t>
      </w:r>
      <w:r>
        <w:rPr>
          <w:rFonts w:eastAsia="Times New Roman" w:cs="Segoe UI" w:ascii="Times New Roman" w:hAnsi="Times New Roman"/>
          <w:b/>
          <w:bCs/>
          <w:i/>
          <w:iCs/>
          <w:color w:val="000000"/>
          <w:sz w:val="21"/>
          <w:szCs w:val="21"/>
          <w:lang w:eastAsia="it-IT"/>
        </w:rPr>
        <w:t>Linee guida rendicontazione</w:t>
      </w:r>
      <w:r>
        <w:rPr>
          <w:rFonts w:eastAsia="Times New Roman" w:cs="Segoe UI" w:ascii="Times New Roman" w:hAnsi="Times New Roman"/>
          <w:color w:val="000000"/>
          <w:sz w:val="21"/>
          <w:szCs w:val="21"/>
          <w:lang w:eastAsia="it-IT"/>
        </w:rPr>
        <w:t>” (allegate al presente Accordo del quale costituiscono parte integrante e sostanziale), procederà alla rendicontazione delle attività svolte, in modo che l’Ente Procedete possa svolgere le attività di controllo ai sensi degli art. 92 e 93 del CTS.</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A conclusione delle attività, oggetto del partenariato (non oltre 30 giorni dalla conclusione), l’EAP presenterà una relazione conclusiva, nella quale sarà indicato anche l’eventuale impatto sociale sulla comunità di riferimento, determinato dall’attuazione del Progetto.</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ART. 10 – TRATTAMENTO DEI DATI PERSONALI</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L’EAP si impegna a consentire il trattamento dei dati personali ai sensi e per gli effetti del Regolamento (UE) 2016/679 del Parlamento Europeo e del Consiglio del 27 aprile 2016 e del D.lgs. 30 giugno 2003, n. 196 (Codice in materia di protezione dei dati personali), modificato dal D.lgs. 10 agosto 2018, n. 101, recante disposizioni per l’adeguamento della normativa nazionale alle disposizioni del Regolamento (UE) 2016/679, relativo alla protezione delle persone fisiche con riguardo al trattamento dei dati personali, nonché alla libera circolazione di tali dati. I dati saranno trattati e conservati esclusivamente per le finalità connesse all’esecuzione delle attività di cui al presente Accordo e per la durata del medesimo nonché per l’adempimento di obblighi previsti da leggi, da regolamenti e dalla normativa comunitaria, nonché da disposizioni impartite da Autorità a ciò legittimate dalla legge e da Organi di Vigilanza e Controllo.</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Con la sottoscrizione del presente accordo di collaborazione le parti, in relazione ai trattamenti di dati personali effettuati in esecuzione dell’accordo medesimo, dichiarano di essersi reciprocamente comunicate tutte le informazioni previste dall’art. 13 del Regolamento (UE) 2016/679, ivi comprese quelle relative alle modalità di esercizio dei diritti dell’interessato previste dal decreto medesimo.</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Gli Enti Procedenti, oltre ai trattamenti effettuati in ottemperanza ad obblighi di legge, eseguono i trattamenti dei dati necessari allo svolgimento delle attività.</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I trattamenti dei dati sono improntati, in particolare, ai principi di correttezza, liceità e trasparenza ed avvengono nel rispetto delle misure di sicurezza previsti dalla normativa sopra citata.</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Ai fini della suddetta normativa, le parti dichiarano che i dati personali forniti sono esatti e corrispondono al vero, esonerandosi reciprocamente da qualsivoglia responsabilità per errori materiali di compilazione ovvero per errori derivanti da una inesatta imputazione dei dati stessi negli archivi elettronici e cartacei, fermi restando i diritti dell’interessato di cui all’art. 15 e ss. del Regolamento (UE) 2016/67.</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In relazione allo svolgimento delle attività di cui al presente Accordo di collaborazione, l’Ente Procedente, l’Azienda USL della Romagna e l’EAP sono titolari autonomi del trattamento, ai sensi e per gli effetti dell’art. 4 par. 1, n. 7 e dell’art. 24 del GDPR.</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ART. 11 – IRREGOLARITÀ O INADEMPIMENTI</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Ove siano accertati irregolarità o inadempimenti rispetto alle attività di cui al presente accordo, l’Ente Procedente si riserva la facoltà di procedere ad una decurtazione – dopo contestazione degli addebiti e valutazione delle controdeduzioni che gli EAP possono produrre entro 10 giorni dalla data di ricezione della contestazione – rapportata sia alla rilevanza dell’inadempienza e/o irregolarità sotto il profilo del pregiudizio arrecato al regolare funzionamento delle attività sia all’entità del contributo.</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In caso di espletamento di attività con modalità non conformi a quelle previste dall’accordo e a quelle che gli EAP si sono impegnati ad eseguire così come risultanti dal progetto definitivo, la decurtazione inciderà sull’entità del contributo dovuto da minimo 1% a max 5% per singola fattispecie e secondo gravità e/o reiterazione.</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La medesima decurtazione di cui al comma precedente verrà applicata in caso di inottemperanza a quanto previsto dalla L. 124/2017 e ss.mm., laddove applicabile, in relazione all’importo del contributo ricevuto.</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Le comunicazioni tra le Parti avverranno mediante posta elettronica certificata PEC, agli indirizzi indicati da ciascuna.</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ART. 12 – RISOLUZIONE</w:t>
      </w:r>
    </w:p>
    <w:p>
      <w:pPr>
        <w:pStyle w:val="Normal"/>
        <w:spacing w:lineRule="auto" w:line="240" w:beforeAutospacing="1" w:afterAutospacing="1"/>
        <w:jc w:val="both"/>
        <w:rPr>
          <w:sz w:val="21"/>
          <w:szCs w:val="21"/>
        </w:rPr>
      </w:pPr>
      <w:bookmarkStart w:id="1" w:name="OLE_LINK6"/>
      <w:bookmarkEnd w:id="1"/>
      <w:r>
        <w:rPr>
          <w:rFonts w:eastAsia="Times New Roman" w:cs="Segoe UI" w:ascii="Times New Roman" w:hAnsi="Times New Roman"/>
          <w:color w:val="000000"/>
          <w:sz w:val="21"/>
          <w:szCs w:val="21"/>
          <w:lang w:eastAsia="it-IT"/>
        </w:rPr>
        <w:t>Ai sensi e per gli effetti degli artt. 1453 e 1454 del Codice Civile, il presente Accordo può essere risolto dalle Parti in qualunque momento previa diffida ad adempiere di 15 gg a mezzo PEC, per gravi inadempienze degli impegni assunti. In caso di risoluzione, per inadempienza degli EAP, l’Ente Procedente riconoscerà solo il contributo, rapportato ai costi per le attività svolte fino al ricevimento della diffida.</w:t>
      </w:r>
    </w:p>
    <w:p>
      <w:pPr>
        <w:pStyle w:val="Normal"/>
        <w:spacing w:lineRule="auto" w:line="240" w:beforeAutospacing="1" w:afterAutospacing="1"/>
        <w:jc w:val="both"/>
        <w:rPr>
          <w:sz w:val="21"/>
          <w:szCs w:val="21"/>
        </w:rPr>
      </w:pPr>
      <w:r>
        <w:rPr>
          <w:sz w:val="21"/>
          <w:szCs w:val="21"/>
        </w:rPr>
      </w:r>
    </w:p>
    <w:p>
      <w:pPr>
        <w:pStyle w:val="Normal"/>
        <w:spacing w:lineRule="auto" w:line="240" w:beforeAutospacing="1" w:afterAutospacing="1"/>
        <w:jc w:val="both"/>
        <w:rPr>
          <w:sz w:val="21"/>
          <w:szCs w:val="21"/>
        </w:rPr>
      </w:pPr>
      <w:r>
        <w:rPr>
          <w:sz w:val="21"/>
          <w:szCs w:val="21"/>
        </w:rPr>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Ai sensi dell’art. 1456 del CC costituiscono clausole risolutive espresse, le seguenti ipotesi:</w:t>
      </w:r>
    </w:p>
    <w:p>
      <w:pPr>
        <w:pStyle w:val="ListParagraph"/>
        <w:numPr>
          <w:ilvl w:val="0"/>
          <w:numId w:val="2"/>
        </w:numPr>
        <w:spacing w:lineRule="auto" w:line="240" w:beforeAutospacing="1" w:after="0"/>
        <w:contextualSpacing/>
        <w:jc w:val="both"/>
        <w:rPr>
          <w:sz w:val="21"/>
          <w:szCs w:val="21"/>
        </w:rPr>
      </w:pPr>
      <w:r>
        <w:rPr>
          <w:rFonts w:eastAsia="Times New Roman" w:cs="Segoe UI" w:ascii="Times New Roman" w:hAnsi="Times New Roman"/>
          <w:color w:val="000000"/>
          <w:sz w:val="21"/>
          <w:szCs w:val="21"/>
          <w:lang w:eastAsia="it-IT"/>
        </w:rPr>
        <w:t>apertura procedura concorsuale o di fallimento, messa in liquidazione o altri casi di cessione dell’attività riferiti ad ETS partner;</w:t>
      </w:r>
    </w:p>
    <w:p>
      <w:pPr>
        <w:pStyle w:val="ListParagraph"/>
        <w:numPr>
          <w:ilvl w:val="0"/>
          <w:numId w:val="2"/>
        </w:numPr>
        <w:spacing w:lineRule="auto" w:line="240" w:before="0" w:after="0"/>
        <w:contextualSpacing/>
        <w:jc w:val="both"/>
        <w:rPr>
          <w:sz w:val="21"/>
          <w:szCs w:val="21"/>
        </w:rPr>
      </w:pPr>
      <w:r>
        <w:rPr>
          <w:rFonts w:eastAsia="Times New Roman" w:cs="Segoe UI" w:ascii="Times New Roman" w:hAnsi="Times New Roman"/>
          <w:color w:val="000000"/>
          <w:sz w:val="21"/>
          <w:szCs w:val="21"/>
          <w:lang w:eastAsia="it-IT"/>
        </w:rPr>
        <w:t>interruzione non motivata delle attività oggetto dell’Accordo di Collaborazione;</w:t>
      </w:r>
    </w:p>
    <w:p>
      <w:pPr>
        <w:pStyle w:val="ListParagraph"/>
        <w:numPr>
          <w:ilvl w:val="0"/>
          <w:numId w:val="2"/>
        </w:numPr>
        <w:spacing w:lineRule="auto" w:line="240" w:before="0" w:after="0"/>
        <w:contextualSpacing/>
        <w:jc w:val="both"/>
        <w:rPr>
          <w:sz w:val="21"/>
          <w:szCs w:val="21"/>
        </w:rPr>
      </w:pPr>
      <w:r>
        <w:rPr>
          <w:rFonts w:eastAsia="Times New Roman" w:cs="Segoe UI" w:ascii="Times New Roman" w:hAnsi="Times New Roman"/>
          <w:color w:val="000000"/>
          <w:sz w:val="21"/>
          <w:szCs w:val="21"/>
          <w:lang w:eastAsia="it-IT"/>
        </w:rPr>
        <w:t>grave difformità sostanziale nella realizzazione degli interventi rispetto a quanto previsto nel progetto definitivo;</w:t>
      </w:r>
    </w:p>
    <w:p>
      <w:pPr>
        <w:pStyle w:val="ListParagraph"/>
        <w:numPr>
          <w:ilvl w:val="0"/>
          <w:numId w:val="2"/>
        </w:numPr>
        <w:spacing w:lineRule="auto" w:line="240" w:before="0" w:after="0"/>
        <w:contextualSpacing/>
        <w:jc w:val="both"/>
        <w:rPr>
          <w:sz w:val="21"/>
          <w:szCs w:val="21"/>
        </w:rPr>
      </w:pPr>
      <w:r>
        <w:rPr>
          <w:rFonts w:eastAsia="Times New Roman" w:cs="Segoe UI" w:ascii="Times New Roman" w:hAnsi="Times New Roman"/>
          <w:color w:val="000000"/>
          <w:sz w:val="21"/>
          <w:szCs w:val="21"/>
          <w:lang w:eastAsia="it-IT"/>
        </w:rPr>
        <w:t>ETS partner colpevole di frode;</w:t>
      </w:r>
    </w:p>
    <w:p>
      <w:pPr>
        <w:pStyle w:val="ListParagraph"/>
        <w:numPr>
          <w:ilvl w:val="0"/>
          <w:numId w:val="2"/>
        </w:numPr>
        <w:spacing w:lineRule="auto" w:line="240" w:before="0" w:afterAutospacing="1"/>
        <w:contextualSpacing/>
        <w:jc w:val="both"/>
        <w:rPr>
          <w:sz w:val="21"/>
          <w:szCs w:val="21"/>
        </w:rPr>
      </w:pPr>
      <w:r>
        <w:rPr>
          <w:rFonts w:eastAsia="Times New Roman" w:cs="Segoe UI" w:ascii="Times New Roman" w:hAnsi="Times New Roman"/>
          <w:color w:val="000000"/>
          <w:sz w:val="21"/>
          <w:szCs w:val="21"/>
          <w:lang w:eastAsia="it-IT"/>
        </w:rPr>
        <w:t>violazione della normativa in materia di sicurezza sui luoghi di lavoro e in materia di contratti di lavoro e CCNL applicabile.</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ART. 13</w:t>
      </w:r>
      <w:r>
        <w:rPr>
          <w:rFonts w:eastAsia="Times New Roman" w:cs="Segoe UI" w:ascii="Times New Roman" w:hAnsi="Times New Roman"/>
          <w:color w:val="000000"/>
          <w:sz w:val="21"/>
          <w:szCs w:val="21"/>
          <w:lang w:eastAsia="it-IT"/>
        </w:rPr>
        <w:t xml:space="preserve"> - </w:t>
      </w:r>
      <w:r>
        <w:rPr>
          <w:rFonts w:eastAsia="Times New Roman" w:cs="Segoe UI" w:ascii="Times New Roman" w:hAnsi="Times New Roman"/>
          <w:b/>
          <w:bCs/>
          <w:color w:val="000000"/>
          <w:sz w:val="21"/>
          <w:szCs w:val="21"/>
          <w:lang w:eastAsia="it-IT"/>
        </w:rPr>
        <w:t>DISPOSIZIONI IN MATERIA DI PREVENZIONE E PROTEZIONE (D. LGS. N. 81/2008)</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L’EAP per lo svolgimento delle attività di cui al presente Accordo di collaborazione si impegna:</w:t>
      </w:r>
    </w:p>
    <w:p>
      <w:pPr>
        <w:pStyle w:val="ListParagraph"/>
        <w:numPr>
          <w:ilvl w:val="0"/>
          <w:numId w:val="3"/>
        </w:numPr>
        <w:spacing w:lineRule="auto" w:line="240" w:beforeAutospacing="1" w:after="0"/>
        <w:contextualSpacing/>
        <w:jc w:val="both"/>
        <w:rPr>
          <w:sz w:val="21"/>
          <w:szCs w:val="21"/>
        </w:rPr>
      </w:pPr>
      <w:r>
        <w:rPr>
          <w:rFonts w:eastAsia="Times New Roman" w:cs="Segoe UI" w:ascii="Times New Roman" w:hAnsi="Times New Roman"/>
          <w:color w:val="000000"/>
          <w:sz w:val="21"/>
          <w:szCs w:val="21"/>
          <w:lang w:eastAsia="it-IT"/>
        </w:rPr>
        <w:t>ad assicurare il rispetto delle disposizioni in materia di prevenzione e protezione dai rischi nei confronti dei lavoratori e degli operatori incaricati per lo svolgimento delle attività oggetto dell’accordo di collaborazione, previste dal D.Lgs. 81/2008, avendo riferimento alla natura delle attività in questione;</w:t>
      </w:r>
    </w:p>
    <w:p>
      <w:pPr>
        <w:pStyle w:val="ListParagraph"/>
        <w:numPr>
          <w:ilvl w:val="0"/>
          <w:numId w:val="3"/>
        </w:numPr>
        <w:spacing w:lineRule="auto" w:line="240" w:before="0" w:after="0"/>
        <w:contextualSpacing/>
        <w:jc w:val="both"/>
        <w:rPr>
          <w:sz w:val="21"/>
          <w:szCs w:val="21"/>
        </w:rPr>
      </w:pPr>
      <w:r>
        <w:rPr>
          <w:rFonts w:eastAsia="Times New Roman" w:cs="Segoe UI" w:ascii="Times New Roman" w:hAnsi="Times New Roman"/>
          <w:color w:val="000000"/>
          <w:sz w:val="21"/>
          <w:szCs w:val="21"/>
          <w:lang w:eastAsia="it-IT"/>
        </w:rPr>
        <w:t>ad applicare per quanto di sua competenza le norme previste dal D.lgs. 81/2008 e successive modificazioni ed integrazioni;</w:t>
      </w:r>
    </w:p>
    <w:p>
      <w:pPr>
        <w:pStyle w:val="ListParagraph"/>
        <w:numPr>
          <w:ilvl w:val="0"/>
          <w:numId w:val="3"/>
        </w:numPr>
        <w:spacing w:lineRule="auto" w:line="240" w:before="0" w:afterAutospacing="1"/>
        <w:contextualSpacing/>
        <w:jc w:val="both"/>
        <w:rPr>
          <w:sz w:val="21"/>
          <w:szCs w:val="21"/>
        </w:rPr>
      </w:pPr>
      <w:r>
        <w:rPr>
          <w:rFonts w:eastAsia="Times New Roman" w:cs="Segoe UI" w:ascii="Times New Roman" w:hAnsi="Times New Roman"/>
          <w:color w:val="000000"/>
          <w:sz w:val="21"/>
          <w:szCs w:val="21"/>
          <w:lang w:eastAsia="it-IT"/>
        </w:rPr>
        <w:t>a comunicare i nominativi del Datore di lavoro e del Responsabile del servizio per la sicurezza.</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 xml:space="preserve">ART. 14 - REGISTRAZIONE </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Tutte le eventuali spese relative al presente Accordo sono a carico dell’EAP.</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Poiché l’EAP rientra tra gli ETS, il presente Accordo di Collaborazione è esente dall’imposta di bollo.</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 xml:space="preserve">Il presente Accordo di Collaborazione è redatto per scrittura privata ed è registrato solo in caso d’uso ai sensi dell’art. 5, comma 2 del D. P. R. 26/04/1986 n. 131 e s.m.i.. </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Sarà obbligata al pagamento dell’imposta di registro solo la parte richiedente la registrazione.</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ART. 15 – FORO COMPETENTE</w:t>
      </w:r>
    </w:p>
    <w:p>
      <w:pPr>
        <w:pStyle w:val="BodyText"/>
        <w:widowControl/>
        <w:bidi w:val="0"/>
        <w:spacing w:lineRule="auto" w:line="240" w:before="280" w:after="280"/>
        <w:ind w:hanging="0" w:start="0" w:end="0"/>
        <w:jc w:val="both"/>
        <w:rPr/>
      </w:pPr>
      <w:r>
        <w:rPr>
          <w:rFonts w:eastAsia="Times New Roman" w:cs="Segoe UI" w:ascii="Times New Roman" w:hAnsi="Times New Roman"/>
          <w:b w:val="false"/>
          <w:i w:val="false"/>
          <w:caps w:val="false"/>
          <w:smallCaps w:val="false"/>
          <w:color w:val="0D0D0D"/>
          <w:spacing w:val="0"/>
          <w:sz w:val="21"/>
          <w:szCs w:val="21"/>
          <w:lang w:eastAsia="it-IT"/>
        </w:rPr>
        <w:t xml:space="preserve">Per ogni controversia relativa all’interpretazione, esecuzione o risoluzione del presente Accordo, che non sia riservata dalla legge alla giurisdizione del giudice amministrativo o ad altra giurisdizione esclusiva, è competente in via esclusiva il </w:t>
      </w:r>
      <w:r>
        <w:rPr>
          <w:rStyle w:val="Strong"/>
          <w:rFonts w:eastAsia="Times New Roman" w:cs="Segoe UI" w:ascii="Times New Roman" w:hAnsi="Times New Roman"/>
          <w:b/>
          <w:i w:val="false"/>
          <w:caps w:val="false"/>
          <w:smallCaps w:val="false"/>
          <w:color w:val="0D0D0D"/>
          <w:spacing w:val="0"/>
          <w:sz w:val="21"/>
          <w:szCs w:val="21"/>
          <w:lang w:eastAsia="it-IT"/>
        </w:rPr>
        <w:t>Foro di Forlì</w:t>
      </w:r>
      <w:r>
        <w:rPr>
          <w:rFonts w:eastAsia="Times New Roman" w:cs="Segoe UI" w:ascii="Times New Roman" w:hAnsi="Times New Roman"/>
          <w:b w:val="false"/>
          <w:i w:val="false"/>
          <w:caps w:val="false"/>
          <w:smallCaps w:val="false"/>
          <w:color w:val="0D0D0D"/>
          <w:spacing w:val="0"/>
          <w:sz w:val="21"/>
          <w:szCs w:val="21"/>
          <w:lang w:eastAsia="it-IT"/>
        </w:rPr>
        <w:t>, quale foro territorialmente competente in relazione alla sede dell’Ente.</w:t>
      </w:r>
    </w:p>
    <w:p>
      <w:pPr>
        <w:pStyle w:val="BodyText"/>
        <w:widowControl/>
        <w:bidi w:val="0"/>
        <w:spacing w:lineRule="auto" w:line="240" w:before="280" w:after="280"/>
        <w:ind w:hanging="0" w:start="0" w:end="0"/>
        <w:jc w:val="both"/>
        <w:rPr>
          <w:sz w:val="21"/>
          <w:szCs w:val="21"/>
        </w:rPr>
      </w:pPr>
      <w:r>
        <w:rPr>
          <w:rFonts w:eastAsia="Times New Roman" w:cs="Segoe UI" w:ascii="Times New Roman" w:hAnsi="Times New Roman"/>
          <w:b w:val="false"/>
          <w:bCs/>
          <w:i w:val="false"/>
          <w:caps w:val="false"/>
          <w:smallCaps w:val="false"/>
          <w:color w:val="0D0D0D"/>
          <w:spacing w:val="0"/>
          <w:sz w:val="21"/>
          <w:szCs w:val="21"/>
          <w:lang w:eastAsia="it-IT"/>
        </w:rPr>
        <w:t>Resta ferma la competenza del giudice amministrativo per le controversie concernenti l’esercizio di poteri autoritativi, l’adozione di provvedimenti amministrativi e, in ogni caso, per le materie attribuite dalla legge alla relativa giurisdizione.</w:t>
      </w:r>
    </w:p>
    <w:p>
      <w:pPr>
        <w:pStyle w:val="Normal"/>
        <w:spacing w:lineRule="auto" w:line="240" w:beforeAutospacing="1" w:afterAutospacing="1"/>
        <w:rPr>
          <w:sz w:val="21"/>
          <w:szCs w:val="21"/>
        </w:rPr>
      </w:pPr>
      <w:r>
        <w:rPr>
          <w:rFonts w:eastAsia="Times New Roman" w:cs="Segoe UI" w:ascii="Times New Roman" w:hAnsi="Times New Roman"/>
          <w:b/>
          <w:bCs/>
          <w:color w:val="000000"/>
          <w:sz w:val="21"/>
          <w:szCs w:val="21"/>
          <w:lang w:eastAsia="it-IT"/>
        </w:rPr>
        <w:t>ART. 16 - NORME FINALI</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Per tutto ciò che non è espressamente previsto nel presente Accordo, si applicano le norme del Codice Civile e le altre normative vigenti che regolano la materia, in quanto applicabili e compatibili con la natura dell’atto.</w:t>
      </w:r>
    </w:p>
    <w:p>
      <w:pPr>
        <w:pStyle w:val="Normal"/>
        <w:spacing w:lineRule="auto" w:line="240" w:beforeAutospacing="1" w:afterAutospacing="1"/>
        <w:jc w:val="both"/>
        <w:rPr>
          <w:sz w:val="21"/>
          <w:szCs w:val="21"/>
        </w:rPr>
      </w:pPr>
      <w:r>
        <w:rPr>
          <w:rFonts w:eastAsia="Times New Roman" w:cs="Segoe UI" w:ascii="Times New Roman" w:hAnsi="Times New Roman"/>
          <w:color w:val="000000"/>
          <w:sz w:val="21"/>
          <w:szCs w:val="21"/>
          <w:lang w:eastAsia="it-IT"/>
        </w:rPr>
        <w:t xml:space="preserve">Il presente Accordo è firmato digitalmente ai sensi del D. Lgs. 82/2005 s.m.i. e norme collegate e sostituisce il documento cartaceo e la firma autografa. La data di stipula del presente accordo e dei relativi allegati è quella della sottoscrizione con firma digitale da parte della Responsabile del Settore Piani sociali di Zona dell'Unione Rubicone e </w:t>
      </w:r>
      <w:r>
        <w:rPr>
          <w:rFonts w:eastAsia="Times New Roman" w:cs="Segoe UI" w:ascii="Times New Roman" w:hAnsi="Times New Roman"/>
          <w:color w:val="000000"/>
          <w:kern w:val="0"/>
          <w:sz w:val="21"/>
          <w:szCs w:val="21"/>
          <w:lang w:val="it-IT" w:eastAsia="it-IT" w:bidi="ar-SA"/>
        </w:rPr>
        <w:t>M</w:t>
      </w:r>
      <w:r>
        <w:rPr>
          <w:rFonts w:eastAsia="Times New Roman" w:cs="Segoe UI" w:ascii="Times New Roman" w:hAnsi="Times New Roman"/>
          <w:color w:val="000000"/>
          <w:sz w:val="21"/>
          <w:szCs w:val="21"/>
          <w:lang w:eastAsia="it-IT"/>
        </w:rPr>
        <w:t>are in qualità di Amministrazione procedente.</w:t>
      </w:r>
    </w:p>
    <w:p>
      <w:pPr>
        <w:pStyle w:val="Normal"/>
        <w:spacing w:lineRule="auto" w:line="240" w:beforeAutospacing="1" w:afterAutospacing="1"/>
        <w:jc w:val="both"/>
        <w:rPr>
          <w:sz w:val="21"/>
          <w:szCs w:val="21"/>
        </w:rPr>
      </w:pPr>
      <w:r>
        <w:rPr>
          <w:sz w:val="21"/>
          <w:szCs w:val="21"/>
        </w:rPr>
      </w:r>
    </w:p>
    <w:p>
      <w:pPr>
        <w:pStyle w:val="Normal"/>
        <w:spacing w:lineRule="auto" w:line="240" w:beforeAutospacing="1" w:afterAutospacing="1"/>
        <w:jc w:val="both"/>
        <w:rPr>
          <w:sz w:val="21"/>
          <w:szCs w:val="21"/>
        </w:rPr>
      </w:pPr>
      <w:r>
        <w:rPr>
          <w:sz w:val="21"/>
          <w:szCs w:val="21"/>
        </w:rPr>
      </w:r>
    </w:p>
    <w:p>
      <w:pPr>
        <w:pStyle w:val="Normal"/>
        <w:spacing w:lineRule="auto" w:line="240" w:beforeAutospacing="1" w:afterAutospacing="1"/>
        <w:jc w:val="both"/>
        <w:rPr>
          <w:sz w:val="21"/>
          <w:szCs w:val="21"/>
        </w:rPr>
      </w:pPr>
      <w:r>
        <w:rPr>
          <w:rFonts w:eastAsia="Times New Roman" w:cs="Segoe UI" w:ascii="Times New Roman" w:hAnsi="Times New Roman"/>
          <w:b/>
          <w:bCs/>
          <w:color w:val="000000"/>
          <w:sz w:val="21"/>
          <w:szCs w:val="21"/>
          <w:lang w:eastAsia="it-IT"/>
        </w:rPr>
        <w:t>ART. 17 – ALLEGATI</w:t>
      </w:r>
    </w:p>
    <w:p>
      <w:pPr>
        <w:pStyle w:val="Normal"/>
        <w:spacing w:lineRule="auto" w:line="240" w:beforeAutospacing="1" w:afterAutospacing="1"/>
        <w:jc w:val="both"/>
        <w:rPr>
          <w:sz w:val="21"/>
          <w:szCs w:val="21"/>
        </w:rPr>
      </w:pPr>
      <w:r>
        <w:rPr>
          <w:rFonts w:cs="Segoe UI" w:ascii="Times New Roman" w:hAnsi="Times New Roman"/>
          <w:sz w:val="21"/>
          <w:szCs w:val="21"/>
        </w:rPr>
        <w:t xml:space="preserve">Sono da considerarsi parte integrante e sostanziale del presente Accordo, anche se </w:t>
      </w:r>
      <w:r>
        <w:rPr>
          <w:rFonts w:cs="Segoe UI" w:ascii="Times New Roman" w:hAnsi="Times New Roman"/>
          <w:b/>
          <w:bCs/>
          <w:sz w:val="21"/>
          <w:szCs w:val="21"/>
        </w:rPr>
        <w:t xml:space="preserve">non sono </w:t>
      </w:r>
      <w:r>
        <w:rPr>
          <w:rFonts w:cs="Segoe UI" w:ascii="Times New Roman" w:hAnsi="Times New Roman"/>
          <w:sz w:val="21"/>
          <w:szCs w:val="21"/>
        </w:rPr>
        <w:t>ad</w:t>
      </w:r>
      <w:r>
        <w:rPr>
          <w:rFonts w:eastAsia="Times New Roman" w:cs="Segoe UI" w:ascii="Times New Roman" w:hAnsi="Times New Roman"/>
          <w:color w:val="000000"/>
          <w:sz w:val="21"/>
          <w:szCs w:val="21"/>
          <w:lang w:eastAsia="it-IT"/>
        </w:rPr>
        <w:t xml:space="preserve"> </w:t>
      </w:r>
      <w:r>
        <w:rPr>
          <w:rFonts w:cs="Segoe UI" w:ascii="Times New Roman" w:hAnsi="Times New Roman"/>
          <w:sz w:val="21"/>
          <w:szCs w:val="21"/>
        </w:rPr>
        <w:t>essa materialmente allegati, i seguenti atti e documenti:</w:t>
      </w:r>
    </w:p>
    <w:p>
      <w:pPr>
        <w:pStyle w:val="ListParagraph"/>
        <w:numPr>
          <w:ilvl w:val="0"/>
          <w:numId w:val="5"/>
        </w:numPr>
        <w:spacing w:lineRule="auto" w:line="240" w:before="0" w:after="0"/>
        <w:contextualSpacing/>
        <w:rPr>
          <w:sz w:val="21"/>
          <w:szCs w:val="21"/>
        </w:rPr>
      </w:pPr>
      <w:r>
        <w:rPr>
          <w:rFonts w:cs="Segoe UI" w:ascii="Times New Roman" w:hAnsi="Times New Roman"/>
          <w:sz w:val="21"/>
          <w:szCs w:val="21"/>
        </w:rPr>
        <w:t>Determina di indizione della procedura ad evidenza pubblica;</w:t>
      </w:r>
    </w:p>
    <w:p>
      <w:pPr>
        <w:pStyle w:val="ListParagraph"/>
        <w:numPr>
          <w:ilvl w:val="0"/>
          <w:numId w:val="5"/>
        </w:numPr>
        <w:spacing w:lineRule="auto" w:line="240" w:before="0" w:after="0"/>
        <w:contextualSpacing/>
        <w:rPr>
          <w:sz w:val="21"/>
          <w:szCs w:val="21"/>
        </w:rPr>
      </w:pPr>
      <w:r>
        <w:rPr>
          <w:rFonts w:cs="Segoe UI" w:ascii="Times New Roman" w:hAnsi="Times New Roman"/>
          <w:sz w:val="21"/>
          <w:szCs w:val="21"/>
        </w:rPr>
        <w:t>Avviso pubblico;</w:t>
      </w:r>
    </w:p>
    <w:p>
      <w:pPr>
        <w:pStyle w:val="ListParagraph"/>
        <w:numPr>
          <w:ilvl w:val="0"/>
          <w:numId w:val="5"/>
        </w:numPr>
        <w:spacing w:lineRule="auto" w:line="240" w:before="0" w:after="0"/>
        <w:contextualSpacing/>
        <w:rPr>
          <w:sz w:val="21"/>
          <w:szCs w:val="21"/>
        </w:rPr>
      </w:pPr>
      <w:r>
        <w:rPr>
          <w:rFonts w:cs="Segoe UI" w:ascii="Times New Roman" w:hAnsi="Times New Roman"/>
          <w:sz w:val="21"/>
          <w:szCs w:val="21"/>
        </w:rPr>
        <w:t>Documento Progettuale redatto dall’Ente;</w:t>
      </w:r>
    </w:p>
    <w:p>
      <w:pPr>
        <w:pStyle w:val="ListParagraph"/>
        <w:numPr>
          <w:ilvl w:val="0"/>
          <w:numId w:val="5"/>
        </w:numPr>
        <w:spacing w:lineRule="auto" w:line="240" w:before="0" w:after="0"/>
        <w:contextualSpacing/>
        <w:rPr>
          <w:sz w:val="21"/>
          <w:szCs w:val="21"/>
        </w:rPr>
      </w:pPr>
      <w:r>
        <w:rPr>
          <w:rFonts w:cs="Segoe UI" w:ascii="Times New Roman" w:hAnsi="Times New Roman"/>
          <w:sz w:val="21"/>
          <w:szCs w:val="21"/>
        </w:rPr>
        <w:t>Progetto Definitivo</w:t>
      </w:r>
    </w:p>
    <w:p>
      <w:pPr>
        <w:pStyle w:val="ListParagraph"/>
        <w:numPr>
          <w:ilvl w:val="0"/>
          <w:numId w:val="5"/>
        </w:numPr>
        <w:spacing w:lineRule="auto" w:line="240" w:before="0" w:after="0"/>
        <w:contextualSpacing/>
        <w:rPr>
          <w:sz w:val="21"/>
          <w:szCs w:val="21"/>
        </w:rPr>
      </w:pPr>
      <w:r>
        <w:rPr>
          <w:rFonts w:cs="Segoe UI" w:ascii="Times New Roman" w:hAnsi="Times New Roman"/>
          <w:sz w:val="21"/>
          <w:szCs w:val="21"/>
        </w:rPr>
        <w:t>Linee Guida Rendicontazione;</w:t>
      </w:r>
    </w:p>
    <w:p>
      <w:pPr>
        <w:pStyle w:val="ListParagraph"/>
        <w:numPr>
          <w:ilvl w:val="0"/>
          <w:numId w:val="5"/>
        </w:numPr>
        <w:spacing w:lineRule="auto" w:line="240" w:before="0" w:after="0"/>
        <w:contextualSpacing/>
        <w:rPr>
          <w:sz w:val="21"/>
          <w:szCs w:val="21"/>
        </w:rPr>
      </w:pPr>
      <w:r>
        <w:rPr>
          <w:rFonts w:cs="Segoe UI" w:ascii="Times New Roman" w:hAnsi="Times New Roman"/>
          <w:sz w:val="21"/>
          <w:szCs w:val="21"/>
        </w:rPr>
        <w:t>Linee Guida Monitoraggio e Vigilanza.</w:t>
      </w:r>
    </w:p>
    <w:p>
      <w:pPr>
        <w:pStyle w:val="ListParagraph"/>
        <w:numPr>
          <w:ilvl w:val="0"/>
          <w:numId w:val="0"/>
        </w:numPr>
        <w:spacing w:lineRule="auto" w:line="240" w:before="0" w:after="0"/>
        <w:ind w:hanging="0" w:start="720"/>
        <w:contextualSpacing/>
        <w:rPr>
          <w:rFonts w:ascii="Times New Roman" w:hAnsi="Times New Roman" w:cs="Segoe UI"/>
          <w:sz w:val="21"/>
          <w:szCs w:val="21"/>
        </w:rPr>
      </w:pPr>
      <w:r>
        <w:rPr>
          <w:rFonts w:cs="Segoe UI" w:ascii="Times New Roman" w:hAnsi="Times New Roman"/>
          <w:sz w:val="21"/>
          <w:szCs w:val="21"/>
        </w:rPr>
      </w:r>
    </w:p>
    <w:p>
      <w:pPr>
        <w:pStyle w:val="Normal"/>
        <w:spacing w:lineRule="auto" w:line="240" w:before="0" w:after="0"/>
        <w:rPr>
          <w:rFonts w:ascii="Times New Roman" w:hAnsi="Times New Roman" w:eastAsia="Times New Roman" w:cs="Segoe UI"/>
          <w:color w:val="000000"/>
          <w:sz w:val="21"/>
          <w:szCs w:val="21"/>
          <w:lang w:eastAsia="it-IT"/>
        </w:rPr>
      </w:pPr>
      <w:r>
        <w:rPr>
          <w:rFonts w:eastAsia="Times New Roman" w:cs="Segoe UI" w:ascii="Times New Roman" w:hAnsi="Times New Roman"/>
          <w:color w:val="000000"/>
          <w:sz w:val="21"/>
          <w:szCs w:val="21"/>
          <w:lang w:eastAsia="it-IT"/>
        </w:rPr>
      </w:r>
    </w:p>
    <w:p>
      <w:pPr>
        <w:pStyle w:val="Normal"/>
        <w:spacing w:lineRule="auto" w:line="240" w:before="0" w:after="0"/>
        <w:rPr>
          <w:sz w:val="21"/>
          <w:szCs w:val="21"/>
        </w:rPr>
      </w:pPr>
      <w:r>
        <w:rPr>
          <w:rFonts w:eastAsia="Times New Roman" w:cs="Segoe UI" w:ascii="Times New Roman" w:hAnsi="Times New Roman"/>
          <w:color w:val="000000"/>
          <w:sz w:val="21"/>
          <w:szCs w:val="21"/>
          <w:lang w:eastAsia="it-IT"/>
        </w:rPr>
        <w:t>FIRME</w:t>
      </w:r>
    </w:p>
    <w:p>
      <w:pPr>
        <w:pStyle w:val="Normal"/>
        <w:spacing w:lineRule="auto" w:line="240" w:before="0" w:after="0"/>
        <w:rPr>
          <w:sz w:val="21"/>
          <w:szCs w:val="21"/>
        </w:rPr>
      </w:pPr>
      <w:r>
        <w:rPr>
          <w:rFonts w:eastAsia="Times New Roman" w:cs="Segoe UI" w:ascii="Times New Roman" w:hAnsi="Times New Roman"/>
          <w:color w:val="000000"/>
          <w:sz w:val="21"/>
          <w:szCs w:val="21"/>
          <w:lang w:eastAsia="it-IT"/>
        </w:rPr>
        <w:t xml:space="preserve">Per l’Unione Rubicone e </w:t>
      </w:r>
      <w:r>
        <w:rPr>
          <w:rFonts w:eastAsia="Times New Roman" w:cs="Segoe UI" w:ascii="Times New Roman" w:hAnsi="Times New Roman"/>
          <w:color w:val="000000"/>
          <w:kern w:val="0"/>
          <w:sz w:val="21"/>
          <w:szCs w:val="21"/>
          <w:lang w:val="it-IT" w:eastAsia="it-IT" w:bidi="ar-SA"/>
        </w:rPr>
        <w:t>M</w:t>
      </w:r>
      <w:r>
        <w:rPr>
          <w:rFonts w:eastAsia="Times New Roman" w:cs="Segoe UI" w:ascii="Times New Roman" w:hAnsi="Times New Roman"/>
          <w:color w:val="000000"/>
          <w:sz w:val="21"/>
          <w:szCs w:val="21"/>
          <w:lang w:eastAsia="it-IT"/>
        </w:rPr>
        <w:t xml:space="preserve">are: Responsabile del Settore Piani Sociali di Zona </w:t>
      </w:r>
    </w:p>
    <w:p>
      <w:pPr>
        <w:pStyle w:val="Normal"/>
        <w:spacing w:lineRule="auto" w:line="240" w:before="0" w:after="0"/>
        <w:rPr>
          <w:rFonts w:ascii="Times New Roman" w:hAnsi="Times New Roman" w:eastAsia="Times New Roman" w:cs="Segoe UI"/>
          <w:color w:val="000000"/>
          <w:sz w:val="21"/>
          <w:szCs w:val="21"/>
          <w:lang w:eastAsia="it-IT"/>
        </w:rPr>
      </w:pPr>
      <w:r>
        <w:rPr>
          <w:rFonts w:eastAsia="Times New Roman" w:cs="Segoe UI" w:ascii="Times New Roman" w:hAnsi="Times New Roman"/>
          <w:color w:val="000000"/>
          <w:sz w:val="21"/>
          <w:szCs w:val="21"/>
          <w:lang w:eastAsia="it-IT"/>
        </w:rPr>
      </w:r>
    </w:p>
    <w:p>
      <w:pPr>
        <w:pStyle w:val="Normal"/>
        <w:spacing w:before="0" w:after="160"/>
        <w:rPr>
          <w:sz w:val="21"/>
          <w:szCs w:val="21"/>
        </w:rPr>
      </w:pPr>
      <w:bookmarkStart w:id="2" w:name="_GoBack"/>
      <w:r>
        <w:rPr>
          <w:rFonts w:eastAsia="Times New Roman" w:cs="Segoe UI" w:ascii="Times New Roman" w:hAnsi="Times New Roman"/>
          <w:color w:val="000000"/>
          <w:sz w:val="21"/>
          <w:szCs w:val="21"/>
          <w:lang w:eastAsia="it-IT"/>
        </w:rPr>
        <w:t xml:space="preserve">Per EAP: il Legale Rappresentante </w:t>
      </w:r>
      <w:bookmarkEnd w:id="2"/>
    </w:p>
    <w:sectPr>
      <w:headerReference w:type="even" r:id="rId2"/>
      <w:headerReference w:type="default" r:id="rId3"/>
      <w:headerReference w:type="first" r:id="rId4"/>
      <w:type w:val="nextPage"/>
      <w:pgSz w:w="11906" w:h="16838"/>
      <w:pgMar w:left="1134" w:right="1134" w:gutter="0" w:header="624" w:top="1333"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Calibri">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numFmt w:val="bullet"/>
      <w:lvlText w:val="-"/>
      <w:lvlJc w:val="start"/>
      <w:pPr>
        <w:tabs>
          <w:tab w:val="num" w:pos="0"/>
        </w:tabs>
        <w:ind w:start="260" w:hanging="118"/>
      </w:pPr>
      <w:rPr>
        <w:rFonts w:ascii="Calibri" w:hAnsi="Calibri" w:cs="Calibri" w:hint="default"/>
        <w:sz w:val="22"/>
        <w:w w:val="100"/>
      </w:rPr>
    </w:lvl>
    <w:lvl w:ilvl="1">
      <w:start w:val="0"/>
      <w:numFmt w:val="bullet"/>
      <w:lvlText w:val=""/>
      <w:lvlJc w:val="start"/>
      <w:pPr>
        <w:tabs>
          <w:tab w:val="num" w:pos="0"/>
        </w:tabs>
        <w:ind w:start="2114" w:hanging="118"/>
      </w:pPr>
      <w:rPr>
        <w:rFonts w:ascii="Symbol" w:hAnsi="Symbol" w:cs="Symbol" w:hint="default"/>
      </w:rPr>
    </w:lvl>
    <w:lvl w:ilvl="2">
      <w:start w:val="0"/>
      <w:numFmt w:val="bullet"/>
      <w:lvlText w:val=""/>
      <w:lvlJc w:val="start"/>
      <w:pPr>
        <w:tabs>
          <w:tab w:val="num" w:pos="0"/>
        </w:tabs>
        <w:ind w:start="3169" w:hanging="118"/>
      </w:pPr>
      <w:rPr>
        <w:rFonts w:ascii="Symbol" w:hAnsi="Symbol" w:cs="Symbol" w:hint="default"/>
      </w:rPr>
    </w:lvl>
    <w:lvl w:ilvl="3">
      <w:start w:val="0"/>
      <w:numFmt w:val="bullet"/>
      <w:lvlText w:val=""/>
      <w:lvlJc w:val="start"/>
      <w:pPr>
        <w:tabs>
          <w:tab w:val="num" w:pos="0"/>
        </w:tabs>
        <w:ind w:start="4223" w:hanging="118"/>
      </w:pPr>
      <w:rPr>
        <w:rFonts w:ascii="Symbol" w:hAnsi="Symbol" w:cs="Symbol" w:hint="default"/>
      </w:rPr>
    </w:lvl>
    <w:lvl w:ilvl="4">
      <w:start w:val="0"/>
      <w:numFmt w:val="bullet"/>
      <w:lvlText w:val=""/>
      <w:lvlJc w:val="start"/>
      <w:pPr>
        <w:tabs>
          <w:tab w:val="num" w:pos="0"/>
        </w:tabs>
        <w:ind w:start="5278" w:hanging="118"/>
      </w:pPr>
      <w:rPr>
        <w:rFonts w:ascii="Symbol" w:hAnsi="Symbol" w:cs="Symbol" w:hint="default"/>
      </w:rPr>
    </w:lvl>
    <w:lvl w:ilvl="5">
      <w:start w:val="0"/>
      <w:numFmt w:val="bullet"/>
      <w:lvlText w:val=""/>
      <w:lvlJc w:val="start"/>
      <w:pPr>
        <w:tabs>
          <w:tab w:val="num" w:pos="0"/>
        </w:tabs>
        <w:ind w:start="6332" w:hanging="118"/>
      </w:pPr>
      <w:rPr>
        <w:rFonts w:ascii="Symbol" w:hAnsi="Symbol" w:cs="Symbol" w:hint="default"/>
      </w:rPr>
    </w:lvl>
    <w:lvl w:ilvl="6">
      <w:start w:val="0"/>
      <w:numFmt w:val="bullet"/>
      <w:lvlText w:val=""/>
      <w:lvlJc w:val="start"/>
      <w:pPr>
        <w:tabs>
          <w:tab w:val="num" w:pos="0"/>
        </w:tabs>
        <w:ind w:start="7387" w:hanging="118"/>
      </w:pPr>
      <w:rPr>
        <w:rFonts w:ascii="Symbol" w:hAnsi="Symbol" w:cs="Symbol" w:hint="default"/>
      </w:rPr>
    </w:lvl>
    <w:lvl w:ilvl="7">
      <w:start w:val="0"/>
      <w:numFmt w:val="bullet"/>
      <w:lvlText w:val=""/>
      <w:lvlJc w:val="start"/>
      <w:pPr>
        <w:tabs>
          <w:tab w:val="num" w:pos="0"/>
        </w:tabs>
        <w:ind w:start="8441" w:hanging="118"/>
      </w:pPr>
      <w:rPr>
        <w:rFonts w:ascii="Symbol" w:hAnsi="Symbol" w:cs="Symbol" w:hint="default"/>
      </w:rPr>
    </w:lvl>
    <w:lvl w:ilvl="8">
      <w:start w:val="0"/>
      <w:numFmt w:val="bullet"/>
      <w:lvlText w:val=""/>
      <w:lvlJc w:val="start"/>
      <w:pPr>
        <w:tabs>
          <w:tab w:val="num" w:pos="0"/>
        </w:tabs>
        <w:ind w:start="9496" w:hanging="118"/>
      </w:pPr>
      <w:rPr>
        <w:rFonts w:ascii="Symbol" w:hAnsi="Symbol" w:cs="Symbol" w:hint="default"/>
      </w:rPr>
    </w:lvl>
  </w:abstractNum>
  <w:abstractNum w:abstractNumId="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60"/>
  <w:defaultTabStop w:val="708"/>
  <w:autoHyphenation w:val="true"/>
  <w:hyphenationZone w:val="28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Heading3">
    <w:name w:val="heading 3"/>
    <w:basedOn w:val="Titolouser"/>
    <w:next w:val="BodyText"/>
    <w:qFormat/>
    <w:pPr>
      <w:spacing w:before="140" w:after="120"/>
      <w:outlineLvl w:val="2"/>
    </w:pPr>
    <w:rPr>
      <w:rFonts w:ascii="Liberation Serif" w:hAnsi="Liberation Serif" w:eastAsia="Segoe UI" w:cs="Tahoma"/>
      <w:b/>
      <w:bCs/>
      <w:sz w:val="28"/>
      <w:szCs w:val="28"/>
    </w:rPr>
  </w:style>
  <w:style w:type="paragraph" w:styleId="Heading6">
    <w:name w:val="heading 6"/>
    <w:basedOn w:val="Normal"/>
    <w:link w:val="Titolo6Carattere"/>
    <w:uiPriority w:val="9"/>
    <w:qFormat/>
    <w:rsid w:val="006c7cb3"/>
    <w:pPr>
      <w:spacing w:lineRule="auto" w:line="240" w:beforeAutospacing="1" w:afterAutospacing="1"/>
      <w:ind w:hanging="0" w:start="936"/>
      <w:outlineLvl w:val="5"/>
    </w:pPr>
    <w:rPr>
      <w:rFonts w:ascii="Times New Roman" w:hAnsi="Times New Roman" w:eastAsia="Times New Roman" w:cs="Times New Roman"/>
      <w:b/>
      <w:bCs/>
      <w:color w:val="000000"/>
      <w:sz w:val="15"/>
      <w:szCs w:val="15"/>
      <w:lang w:eastAsia="it-IT"/>
    </w:rPr>
  </w:style>
  <w:style w:type="character" w:styleId="DefaultParagraphFont" w:default="1">
    <w:name w:val="Default Paragraph Font"/>
    <w:uiPriority w:val="1"/>
    <w:semiHidden/>
    <w:unhideWhenUsed/>
    <w:qFormat/>
    <w:rPr/>
  </w:style>
  <w:style w:type="character" w:styleId="Titolo6Carattere" w:customStyle="1">
    <w:name w:val="Titolo 6 Carattere"/>
    <w:basedOn w:val="DefaultParagraphFont"/>
    <w:uiPriority w:val="9"/>
    <w:qFormat/>
    <w:rsid w:val="006c7cb3"/>
    <w:rPr>
      <w:rFonts w:ascii="Times New Roman" w:hAnsi="Times New Roman" w:eastAsia="Times New Roman" w:cs="Times New Roman"/>
      <w:b/>
      <w:bCs/>
      <w:color w:val="000000"/>
      <w:sz w:val="15"/>
      <w:szCs w:val="15"/>
      <w:lang w:eastAsia="it-IT"/>
    </w:rPr>
  </w:style>
  <w:style w:type="character" w:styleId="IntestazioneCarattere" w:customStyle="1">
    <w:name w:val="Intestazione Carattere"/>
    <w:basedOn w:val="DefaultParagraphFont"/>
    <w:uiPriority w:val="99"/>
    <w:qFormat/>
    <w:rsid w:val="0083489b"/>
    <w:rPr/>
  </w:style>
  <w:style w:type="character" w:styleId="PidipaginaCarattere" w:customStyle="1">
    <w:name w:val="Piè di pagina Carattere"/>
    <w:basedOn w:val="DefaultParagraphFont"/>
    <w:uiPriority w:val="99"/>
    <w:qFormat/>
    <w:rsid w:val="0083489b"/>
    <w:rPr/>
  </w:style>
  <w:style w:type="character" w:styleId="Puntiuser">
    <w:name w:val="Punti (user)"/>
    <w:qFormat/>
    <w:rPr>
      <w:rFonts w:ascii="OpenSymbol;Arial Unicode MS" w:hAnsi="OpenSymbol;Arial Unicode MS" w:eastAsia="OpenSymbol;Arial Unicode MS" w:cs="OpenSymbol;Arial Unicode MS"/>
    </w:rPr>
  </w:style>
  <w:style w:type="character" w:styleId="Carpredefinitoparagrafo">
    <w:name w:val="Car. predefinito paragrafo"/>
    <w:qFormat/>
    <w:rPr/>
  </w:style>
  <w:style w:type="character" w:styleId="Strong">
    <w:name w:val="Strong"/>
    <w:qFormat/>
    <w:rPr>
      <w:b/>
      <w:bC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lang w:val="zxx" w:eastAsia="zxx" w:bidi="zxx"/>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ListParagraph" w:customStyle="1">
    <w:name w:val="List Paragraph"/>
    <w:basedOn w:val="Normal"/>
    <w:qFormat/>
    <w:rsid w:val="00ab1095"/>
    <w:pPr>
      <w:widowControl w:val="false"/>
      <w:spacing w:lineRule="auto" w:line="240" w:before="0" w:after="0"/>
      <w:ind w:hanging="0" w:start="933"/>
      <w:jc w:val="both"/>
    </w:pPr>
    <w:rPr>
      <w:rFonts w:ascii="Calibri" w:hAnsi="Calibri" w:eastAsia="Times New Roman" w:cs="Calibri"/>
    </w:rPr>
  </w:style>
  <w:style w:type="paragraph" w:styleId="Normale2" w:customStyle="1">
    <w:name w:val="Normale2"/>
    <w:qFormat/>
    <w:rsid w:val="00ab1095"/>
    <w:pPr>
      <w:widowControl w:val="false"/>
      <w:suppressAutoHyphens w:val="true"/>
      <w:bidi w:val="0"/>
      <w:spacing w:lineRule="auto" w:line="240" w:before="0" w:after="0"/>
      <w:jc w:val="start"/>
    </w:pPr>
    <w:rPr>
      <w:rFonts w:ascii="Times New Roman" w:hAnsi="Times New Roman" w:eastAsia="Calibri" w:cs="Times New Roman"/>
      <w:color w:val="000000"/>
      <w:kern w:val="0"/>
      <w:sz w:val="24"/>
      <w:szCs w:val="24"/>
      <w:lang w:val="it-IT" w:eastAsia="it-IT" w:bidi="ar-SA"/>
    </w:rPr>
  </w:style>
  <w:style w:type="paragraph" w:styleId="Intestazioneepidipagina">
    <w:name w:val="Intestazione e piè di pagina"/>
    <w:basedOn w:val="Normal"/>
    <w:qFormat/>
    <w:pPr/>
    <w:rPr/>
  </w:style>
  <w:style w:type="paragraph" w:styleId="Intestazioneepidipaginauser">
    <w:name w:val="Intestazione e piè di pagina (user)"/>
    <w:basedOn w:val="Normal"/>
    <w:qFormat/>
    <w:pPr/>
    <w:rPr/>
  </w:style>
  <w:style w:type="paragraph" w:styleId="Header">
    <w:name w:val="header"/>
    <w:basedOn w:val="Normal"/>
    <w:link w:val="IntestazioneCarattere"/>
    <w:uiPriority w:val="99"/>
    <w:unhideWhenUsed/>
    <w:rsid w:val="0083489b"/>
    <w:pPr>
      <w:tabs>
        <w:tab w:val="clear" w:pos="708"/>
        <w:tab w:val="center" w:pos="4819" w:leader="none"/>
        <w:tab w:val="right" w:pos="9638" w:leader="none"/>
      </w:tabs>
      <w:spacing w:lineRule="auto" w:line="240" w:before="0" w:after="0"/>
    </w:pPr>
    <w:rPr/>
  </w:style>
  <w:style w:type="paragraph" w:styleId="Footer">
    <w:name w:val="footer"/>
    <w:basedOn w:val="Normal"/>
    <w:link w:val="PidipaginaCarattere"/>
    <w:uiPriority w:val="99"/>
    <w:unhideWhenUsed/>
    <w:rsid w:val="0083489b"/>
    <w:pPr>
      <w:tabs>
        <w:tab w:val="clear" w:pos="708"/>
        <w:tab w:val="center" w:pos="4819" w:leader="none"/>
        <w:tab w:val="right" w:pos="9638" w:leader="none"/>
      </w:tabs>
      <w:spacing w:lineRule="auto" w:line="240" w:before="0" w:after="0"/>
    </w:pPr>
    <w:rPr/>
  </w:style>
  <w:style w:type="paragraph" w:styleId="NormaleWeb">
    <w:name w:val="Normale (Web)"/>
    <w:basedOn w:val="Normal"/>
    <w:qFormat/>
    <w:pPr>
      <w:spacing w:lineRule="auto" w:line="240" w:before="280" w:after="280"/>
    </w:pPr>
    <w:rPr>
      <w:rFonts w:ascii="Times New Roman" w:hAnsi="Times New Roman" w:cs="Times New Roman"/>
      <w:sz w:val="24"/>
      <w:szCs w:val="24"/>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83489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298</TotalTime>
  <Application>LibreOffice/25.8.3.2$Windows_X86_64 LibreOffice_project/8ca8d55c161d602844f5428fa4b58097424e324e</Application>
  <AppVersion>15.0000</AppVersion>
  <Pages>9</Pages>
  <Words>4224</Words>
  <Characters>25489</Characters>
  <CharactersWithSpaces>29589</CharactersWithSpaces>
  <Paragraphs>133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2023-06-28T07:49:00Z</dcterms:created>
  <dc:creator>Ricchi Giulia</dc:creator>
  <dc:description/>
  <dc:language>it-IT</dc:language>
  <cp:lastModifiedBy/>
  <dcterms:modified xsi:type="dcterms:W3CDTF">2026-10-12T09:04:19Z</dcterms:modified>
  <cp:revision>60</cp:revision>
  <dc:subject/>
  <dc:title/>
</cp:coreProperties>
</file>

<file path=docProps/custom.xml><?xml version="1.0" encoding="utf-8"?>
<Properties xmlns="http://schemas.openxmlformats.org/officeDocument/2006/custom-properties" xmlns:vt="http://schemas.openxmlformats.org/officeDocument/2006/docPropsVTypes"/>
</file>